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69" w:rsidRPr="00A45B69" w:rsidRDefault="00895C58" w:rsidP="00895C58">
      <w:pPr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r w:rsidRPr="00A45B69">
        <w:rPr>
          <w:rFonts w:ascii="Times New Roman" w:hAnsi="Times New Roman" w:cs="Times New Roman"/>
          <w:b/>
          <w:color w:val="385623" w:themeColor="accent6" w:themeShade="80"/>
        </w:rPr>
        <w:t>Kierunki działań i warunki brzegowe  ,, Aktywny samorząd’’</w:t>
      </w:r>
    </w:p>
    <w:p w:rsidR="00B15A13" w:rsidRPr="00A45B69" w:rsidRDefault="00895C58" w:rsidP="00895C58">
      <w:pPr>
        <w:jc w:val="center"/>
        <w:rPr>
          <w:rFonts w:ascii="Times New Roman" w:hAnsi="Times New Roman" w:cs="Times New Roman"/>
          <w:b/>
          <w:color w:val="385623" w:themeColor="accent6" w:themeShade="80"/>
          <w:u w:val="single"/>
        </w:rPr>
      </w:pPr>
      <w:r w:rsidRPr="00A45B69">
        <w:rPr>
          <w:rFonts w:ascii="Times New Roman" w:hAnsi="Times New Roman" w:cs="Times New Roman"/>
          <w:b/>
          <w:color w:val="385623" w:themeColor="accent6" w:themeShade="80"/>
        </w:rPr>
        <w:t xml:space="preserve"> </w:t>
      </w:r>
      <w:r w:rsidRPr="00A45B69">
        <w:rPr>
          <w:rFonts w:ascii="Times New Roman" w:hAnsi="Times New Roman" w:cs="Times New Roman"/>
          <w:b/>
          <w:color w:val="385623" w:themeColor="accent6" w:themeShade="80"/>
          <w:u w:val="single"/>
        </w:rPr>
        <w:t>Moduł I 2018 rok</w:t>
      </w:r>
    </w:p>
    <w:p w:rsidR="00895C58" w:rsidRPr="00A45B69" w:rsidRDefault="00895C58" w:rsidP="00895C58">
      <w:pPr>
        <w:pStyle w:val="Akapitzlist"/>
        <w:numPr>
          <w:ilvl w:val="0"/>
          <w:numId w:val="10"/>
        </w:numPr>
        <w:spacing w:before="120" w:after="60"/>
        <w:ind w:left="721"/>
        <w:jc w:val="both"/>
        <w:rPr>
          <w:rFonts w:cs="Times New Roman"/>
          <w:b/>
          <w:iCs/>
          <w:color w:val="385623" w:themeColor="accent6" w:themeShade="80"/>
          <w:kern w:val="2"/>
          <w:sz w:val="22"/>
          <w:szCs w:val="22"/>
        </w:rPr>
      </w:pPr>
      <w:r w:rsidRPr="00A45B69">
        <w:rPr>
          <w:rFonts w:cs="Times New Roman"/>
          <w:b/>
          <w:color w:val="385623" w:themeColor="accent6" w:themeShade="80"/>
          <w:sz w:val="22"/>
          <w:szCs w:val="22"/>
        </w:rPr>
        <w:t>O</w:t>
      </w:r>
      <w:r w:rsidRPr="00A45B69">
        <w:rPr>
          <w:rFonts w:cs="Times New Roman"/>
          <w:b/>
          <w:color w:val="385623" w:themeColor="accent6" w:themeShade="80"/>
          <w:sz w:val="22"/>
          <w:szCs w:val="22"/>
        </w:rPr>
        <w:t>bszary i zadania programu, któ</w:t>
      </w:r>
      <w:r w:rsidRPr="00A45B69">
        <w:rPr>
          <w:rFonts w:cs="Times New Roman"/>
          <w:b/>
          <w:color w:val="385623" w:themeColor="accent6" w:themeShade="80"/>
          <w:sz w:val="22"/>
          <w:szCs w:val="22"/>
        </w:rPr>
        <w:t>re będą realizowane w 2018 roku w ramach Modułu I -</w:t>
      </w:r>
      <w:r w:rsidRPr="00A45B69">
        <w:rPr>
          <w:rFonts w:cs="Times New Roman"/>
          <w:b/>
          <w:color w:val="385623" w:themeColor="accent6" w:themeShade="80"/>
          <w:sz w:val="22"/>
          <w:szCs w:val="22"/>
        </w:rPr>
        <w:t>likwidacja barier utrudniających aktywizację społeczną i zawodową, w tym:</w:t>
      </w:r>
    </w:p>
    <w:p w:rsidR="00895C58" w:rsidRPr="00A45B69" w:rsidRDefault="00895C58" w:rsidP="00895C58">
      <w:pPr>
        <w:pStyle w:val="Akapitzlist"/>
        <w:numPr>
          <w:ilvl w:val="1"/>
          <w:numId w:val="1"/>
        </w:numPr>
        <w:tabs>
          <w:tab w:val="clear" w:pos="3400"/>
          <w:tab w:val="num" w:pos="-1701"/>
        </w:tabs>
        <w:ind w:left="1134" w:hanging="425"/>
        <w:jc w:val="both"/>
        <w:rPr>
          <w:rFonts w:cs="Times New Roman"/>
          <w:iCs/>
          <w:kern w:val="2"/>
          <w:sz w:val="22"/>
          <w:szCs w:val="22"/>
        </w:rPr>
      </w:pPr>
      <w:r w:rsidRPr="00A45B69">
        <w:rPr>
          <w:rFonts w:cs="Times New Roman"/>
          <w:b/>
          <w:iCs/>
          <w:color w:val="385623" w:themeColor="accent6" w:themeShade="80"/>
          <w:kern w:val="2"/>
          <w:sz w:val="22"/>
          <w:szCs w:val="22"/>
        </w:rPr>
        <w:t>Obszar A</w:t>
      </w:r>
      <w:r w:rsidRPr="00A45B69">
        <w:rPr>
          <w:rFonts w:cs="Times New Roman"/>
          <w:iCs/>
          <w:kern w:val="2"/>
          <w:sz w:val="22"/>
          <w:szCs w:val="22"/>
        </w:rPr>
        <w:t xml:space="preserve"> – likwidacja bariery transportowej:</w:t>
      </w:r>
    </w:p>
    <w:p w:rsidR="00895C58" w:rsidRPr="00A45B69" w:rsidRDefault="00895C58" w:rsidP="00895C58">
      <w:pPr>
        <w:numPr>
          <w:ilvl w:val="3"/>
          <w:numId w:val="1"/>
        </w:numPr>
        <w:tabs>
          <w:tab w:val="clear" w:pos="484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Zadanie 1: pomoc w zakupie i montażu oprzyrządowania do posiadanego samochodu,</w:t>
      </w:r>
    </w:p>
    <w:p w:rsidR="00895C58" w:rsidRPr="00A45B69" w:rsidRDefault="00895C58" w:rsidP="00895C58">
      <w:pPr>
        <w:numPr>
          <w:ilvl w:val="3"/>
          <w:numId w:val="1"/>
        </w:numPr>
        <w:tabs>
          <w:tab w:val="clear" w:pos="484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Zadanie 2: pomoc w uzyskaniu prawa jazdy kategorii B,</w:t>
      </w:r>
    </w:p>
    <w:p w:rsidR="00895C58" w:rsidRPr="00A45B69" w:rsidRDefault="00895C58" w:rsidP="00895C58">
      <w:pPr>
        <w:pStyle w:val="Akapitzlist"/>
        <w:numPr>
          <w:ilvl w:val="1"/>
          <w:numId w:val="1"/>
        </w:numPr>
        <w:tabs>
          <w:tab w:val="clear" w:pos="3400"/>
          <w:tab w:val="num" w:pos="-1701"/>
        </w:tabs>
        <w:ind w:left="1134" w:hanging="425"/>
        <w:jc w:val="both"/>
        <w:rPr>
          <w:rFonts w:cs="Times New Roman"/>
          <w:iCs/>
          <w:kern w:val="2"/>
          <w:sz w:val="22"/>
          <w:szCs w:val="22"/>
        </w:rPr>
      </w:pPr>
      <w:r w:rsidRPr="00A45B69">
        <w:rPr>
          <w:rFonts w:cs="Times New Roman"/>
          <w:b/>
          <w:iCs/>
          <w:color w:val="385623" w:themeColor="accent6" w:themeShade="80"/>
          <w:kern w:val="2"/>
          <w:sz w:val="22"/>
          <w:szCs w:val="22"/>
        </w:rPr>
        <w:t>Obszar B</w:t>
      </w:r>
      <w:r w:rsidRPr="00A45B69">
        <w:rPr>
          <w:rFonts w:cs="Times New Roman"/>
          <w:iCs/>
          <w:kern w:val="2"/>
          <w:sz w:val="22"/>
          <w:szCs w:val="22"/>
        </w:rPr>
        <w:t xml:space="preserve"> – likwidacja barier w dostępie do uczestniczenia w społeczeństwie informacyjnym:</w:t>
      </w:r>
    </w:p>
    <w:p w:rsidR="00895C58" w:rsidRPr="00A45B69" w:rsidRDefault="00895C58" w:rsidP="00895C5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Zadanie 1: pomoc w zakupie </w:t>
      </w:r>
      <w:r w:rsidRPr="00A45B69">
        <w:rPr>
          <w:rFonts w:ascii="Times New Roman" w:hAnsi="Times New Roman" w:cs="Times New Roman"/>
          <w:kern w:val="2"/>
        </w:rPr>
        <w:t>sprzętu elektronicznego lub jego elementów oraz oprogramowania,</w:t>
      </w:r>
    </w:p>
    <w:p w:rsidR="00895C58" w:rsidRPr="00A45B69" w:rsidRDefault="00895C58" w:rsidP="00895C5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Zadanie 2: </w:t>
      </w:r>
      <w:r w:rsidRPr="00A45B69">
        <w:rPr>
          <w:rFonts w:ascii="Times New Roman" w:hAnsi="Times New Roman" w:cs="Times New Roman"/>
          <w:kern w:val="2"/>
        </w:rPr>
        <w:t>dofinansowanie szkoleń w zakresie obsługi nabytego w ramach programu sprzętu elektronicznego i oprogramowania,</w:t>
      </w:r>
    </w:p>
    <w:p w:rsidR="00895C58" w:rsidRPr="00A45B69" w:rsidRDefault="00895C58" w:rsidP="00895C58">
      <w:pPr>
        <w:pStyle w:val="Akapitzlist"/>
        <w:numPr>
          <w:ilvl w:val="1"/>
          <w:numId w:val="1"/>
        </w:numPr>
        <w:tabs>
          <w:tab w:val="clear" w:pos="3400"/>
        </w:tabs>
        <w:ind w:left="1134" w:hanging="425"/>
        <w:jc w:val="both"/>
        <w:rPr>
          <w:rFonts w:cs="Times New Roman"/>
          <w:iCs/>
          <w:kern w:val="2"/>
          <w:sz w:val="22"/>
          <w:szCs w:val="22"/>
        </w:rPr>
      </w:pPr>
      <w:r w:rsidRPr="00A45B69">
        <w:rPr>
          <w:rFonts w:cs="Times New Roman"/>
          <w:b/>
          <w:iCs/>
          <w:color w:val="385623" w:themeColor="accent6" w:themeShade="80"/>
          <w:kern w:val="2"/>
          <w:sz w:val="22"/>
          <w:szCs w:val="22"/>
        </w:rPr>
        <w:t>Obszar C</w:t>
      </w:r>
      <w:r w:rsidRPr="00A45B69">
        <w:rPr>
          <w:rFonts w:cs="Times New Roman"/>
          <w:iCs/>
          <w:kern w:val="2"/>
          <w:sz w:val="22"/>
          <w:szCs w:val="22"/>
        </w:rPr>
        <w:t xml:space="preserve"> – likwidacja barier w poruszaniu się:</w:t>
      </w:r>
    </w:p>
    <w:p w:rsidR="00895C58" w:rsidRPr="00A45B69" w:rsidRDefault="00895C58" w:rsidP="00895C58">
      <w:pPr>
        <w:numPr>
          <w:ilvl w:val="0"/>
          <w:numId w:val="3"/>
        </w:numPr>
        <w:tabs>
          <w:tab w:val="clear" w:pos="4480"/>
        </w:tabs>
        <w:spacing w:after="0" w:line="240" w:lineRule="auto"/>
        <w:ind w:left="1418" w:hanging="284"/>
        <w:jc w:val="both"/>
        <w:rPr>
          <w:rFonts w:ascii="Times New Roman" w:eastAsia="Arial Unicode MS" w:hAnsi="Times New Roman" w:cs="Times New Roman"/>
        </w:rPr>
      </w:pPr>
      <w:r w:rsidRPr="00A45B69">
        <w:rPr>
          <w:rFonts w:ascii="Times New Roman" w:hAnsi="Times New Roman" w:cs="Times New Roman"/>
          <w:iCs/>
          <w:kern w:val="2"/>
        </w:rPr>
        <w:t>Zadanie 2: pomoc w utrzymaniu sprawności technicznej posiadanego wózka inwalidzkiego o napędzie elektrycznym,</w:t>
      </w:r>
    </w:p>
    <w:p w:rsidR="00895C58" w:rsidRPr="00A45B69" w:rsidRDefault="00895C58" w:rsidP="00895C58">
      <w:pPr>
        <w:numPr>
          <w:ilvl w:val="0"/>
          <w:numId w:val="3"/>
        </w:numPr>
        <w:tabs>
          <w:tab w:val="clear" w:pos="4480"/>
        </w:tabs>
        <w:spacing w:after="0" w:line="240" w:lineRule="auto"/>
        <w:ind w:left="1418" w:hanging="284"/>
        <w:jc w:val="both"/>
        <w:rPr>
          <w:rFonts w:ascii="Times New Roman" w:eastAsia="Arial Unicode MS" w:hAnsi="Times New Roman" w:cs="Times New Roman"/>
        </w:rPr>
      </w:pPr>
      <w:r w:rsidRPr="00A45B69">
        <w:rPr>
          <w:rFonts w:ascii="Times New Roman" w:hAnsi="Times New Roman" w:cs="Times New Roman"/>
        </w:rPr>
        <w:t>Zadanie 3: pomoc w zakupie protezy kończyny, w której zastosowano nowoczesne rozwiązania techniczne, tj. protezy co najmniej na III poziomie jakości,</w:t>
      </w:r>
    </w:p>
    <w:p w:rsidR="00895C58" w:rsidRPr="00A45B69" w:rsidRDefault="00895C58" w:rsidP="00895C58">
      <w:pPr>
        <w:numPr>
          <w:ilvl w:val="0"/>
          <w:numId w:val="3"/>
        </w:numPr>
        <w:tabs>
          <w:tab w:val="clear" w:pos="4480"/>
        </w:tabs>
        <w:spacing w:after="0" w:line="240" w:lineRule="auto"/>
        <w:ind w:left="1418" w:hanging="284"/>
        <w:jc w:val="both"/>
        <w:rPr>
          <w:rFonts w:ascii="Times New Roman" w:eastAsia="Arial Unicode MS" w:hAnsi="Times New Roman" w:cs="Times New Roman"/>
        </w:rPr>
      </w:pPr>
      <w:r w:rsidRPr="00A45B69">
        <w:rPr>
          <w:rFonts w:ascii="Times New Roman" w:hAnsi="Times New Roman" w:cs="Times New Roman"/>
        </w:rPr>
        <w:t xml:space="preserve">Zadanie 4: pomoc </w:t>
      </w:r>
      <w:r w:rsidRPr="00A45B69">
        <w:rPr>
          <w:rFonts w:ascii="Times New Roman" w:hAnsi="Times New Roman" w:cs="Times New Roman"/>
          <w:iCs/>
          <w:kern w:val="2"/>
        </w:rPr>
        <w:t xml:space="preserve">w utrzymaniu sprawności technicznej posiadanej protezy </w:t>
      </w:r>
      <w:r w:rsidRPr="00A45B69">
        <w:rPr>
          <w:rFonts w:ascii="Times New Roman" w:hAnsi="Times New Roman" w:cs="Times New Roman"/>
        </w:rPr>
        <w:t>kończyny, w której zastosowano nowoczesne rozwiązania techniczne, (co najmniej na III poziomie jakości),</w:t>
      </w:r>
    </w:p>
    <w:p w:rsidR="00895C58" w:rsidRPr="00A45B69" w:rsidRDefault="00895C58" w:rsidP="00895C58">
      <w:pPr>
        <w:pStyle w:val="Akapitzlist"/>
        <w:numPr>
          <w:ilvl w:val="1"/>
          <w:numId w:val="1"/>
        </w:numPr>
        <w:tabs>
          <w:tab w:val="clear" w:pos="3400"/>
        </w:tabs>
        <w:ind w:left="1134" w:hanging="425"/>
        <w:jc w:val="both"/>
        <w:rPr>
          <w:rFonts w:cs="Times New Roman"/>
          <w:iCs/>
          <w:kern w:val="2"/>
          <w:sz w:val="22"/>
          <w:szCs w:val="22"/>
        </w:rPr>
      </w:pPr>
      <w:r w:rsidRPr="00A45B69">
        <w:rPr>
          <w:rFonts w:cs="Times New Roman"/>
          <w:b/>
          <w:iCs/>
          <w:color w:val="385623" w:themeColor="accent6" w:themeShade="80"/>
          <w:kern w:val="2"/>
          <w:sz w:val="22"/>
          <w:szCs w:val="22"/>
        </w:rPr>
        <w:t>Obszar D</w:t>
      </w:r>
      <w:r w:rsidRPr="00A45B69">
        <w:rPr>
          <w:rFonts w:cs="Times New Roman"/>
          <w:iCs/>
          <w:kern w:val="2"/>
          <w:sz w:val="22"/>
          <w:szCs w:val="22"/>
        </w:rPr>
        <w:t xml:space="preserve"> –</w:t>
      </w:r>
      <w:r w:rsidRPr="00A45B69">
        <w:rPr>
          <w:rFonts w:cs="Times New Roman"/>
          <w:sz w:val="22"/>
          <w:szCs w:val="22"/>
        </w:rPr>
        <w:t xml:space="preserve"> pomoc w utrzymaniu aktywności zawodowej poprzez zapewnienie opieki dla osoby zależnej</w:t>
      </w:r>
      <w:r w:rsidR="002F793E" w:rsidRPr="00A45B69">
        <w:rPr>
          <w:rFonts w:cs="Times New Roman"/>
          <w:sz w:val="22"/>
          <w:szCs w:val="22"/>
        </w:rPr>
        <w:t>.</w:t>
      </w:r>
    </w:p>
    <w:p w:rsidR="00895C58" w:rsidRPr="00A45B69" w:rsidRDefault="00895C58" w:rsidP="00895C58">
      <w:pPr>
        <w:pStyle w:val="Akapitzlist"/>
        <w:ind w:left="1134"/>
        <w:jc w:val="both"/>
        <w:rPr>
          <w:rFonts w:cs="Times New Roman"/>
          <w:iCs/>
          <w:kern w:val="2"/>
          <w:sz w:val="22"/>
          <w:szCs w:val="22"/>
        </w:rPr>
      </w:pPr>
    </w:p>
    <w:p w:rsidR="00895C58" w:rsidRPr="00A45B69" w:rsidRDefault="00895C58" w:rsidP="00895C58">
      <w:pPr>
        <w:pStyle w:val="NormalnyWeb"/>
        <w:spacing w:before="0" w:beforeAutospacing="0" w:after="0" w:afterAutospacing="0"/>
        <w:ind w:left="284" w:hanging="284"/>
        <w:jc w:val="both"/>
        <w:rPr>
          <w:b/>
          <w:iCs/>
          <w:color w:val="385623" w:themeColor="accent6" w:themeShade="80"/>
          <w:kern w:val="2"/>
          <w:sz w:val="22"/>
          <w:szCs w:val="22"/>
        </w:rPr>
      </w:pP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2.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Maksymalna kwota dofinansowani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a lub refundacji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 xml:space="preserve"> w ramach modułu I wynosi, w przypadku:</w:t>
      </w:r>
    </w:p>
    <w:p w:rsidR="00895C58" w:rsidRPr="00A45B69" w:rsidRDefault="00895C58" w:rsidP="00895C58">
      <w:pPr>
        <w:numPr>
          <w:ilvl w:val="0"/>
          <w:numId w:val="5"/>
        </w:numPr>
        <w:tabs>
          <w:tab w:val="clear" w:pos="644"/>
          <w:tab w:val="num" w:pos="-2552"/>
        </w:tabs>
        <w:spacing w:after="0" w:line="240" w:lineRule="auto"/>
        <w:ind w:left="709" w:hanging="457"/>
        <w:jc w:val="both"/>
        <w:rPr>
          <w:rFonts w:ascii="Times New Roman" w:hAnsi="Times New Roman" w:cs="Times New Roman"/>
          <w:b/>
          <w:iCs/>
          <w:color w:val="385623" w:themeColor="accent6" w:themeShade="80"/>
          <w:kern w:val="2"/>
        </w:rPr>
      </w:pPr>
      <w:r w:rsidRPr="00A45B69">
        <w:rPr>
          <w:rFonts w:ascii="Times New Roman" w:hAnsi="Times New Roman" w:cs="Times New Roman"/>
          <w:b/>
          <w:iCs/>
          <w:color w:val="385623" w:themeColor="accent6" w:themeShade="80"/>
          <w:kern w:val="2"/>
        </w:rPr>
        <w:t>Obszaru A: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993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w Zadaniu nr 1 – </w:t>
      </w:r>
      <w:r w:rsidRPr="00A45B69">
        <w:rPr>
          <w:rFonts w:ascii="Times New Roman" w:hAnsi="Times New Roman" w:cs="Times New Roman"/>
          <w:b/>
          <w:iCs/>
          <w:kern w:val="2"/>
        </w:rPr>
        <w:t>8.000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993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w Zadaniu nr 2 – </w:t>
      </w:r>
      <w:r w:rsidRPr="00A45B69">
        <w:rPr>
          <w:rFonts w:ascii="Times New Roman" w:hAnsi="Times New Roman" w:cs="Times New Roman"/>
          <w:b/>
          <w:iCs/>
          <w:kern w:val="2"/>
        </w:rPr>
        <w:t>2.200 zł</w:t>
      </w:r>
      <w:r w:rsidRPr="00A45B69">
        <w:rPr>
          <w:rFonts w:ascii="Times New Roman" w:hAnsi="Times New Roman" w:cs="Times New Roman"/>
          <w:iCs/>
          <w:kern w:val="2"/>
        </w:rPr>
        <w:t>, w tym:</w:t>
      </w:r>
    </w:p>
    <w:p w:rsidR="00895C58" w:rsidRPr="00A45B69" w:rsidRDefault="00895C58" w:rsidP="00895C58">
      <w:pPr>
        <w:numPr>
          <w:ilvl w:val="0"/>
          <w:numId w:val="6"/>
        </w:numPr>
        <w:tabs>
          <w:tab w:val="clear" w:pos="1440"/>
        </w:tabs>
        <w:spacing w:before="40" w:after="40" w:line="240" w:lineRule="auto"/>
        <w:ind w:left="1418" w:hanging="425"/>
        <w:jc w:val="both"/>
        <w:rPr>
          <w:rFonts w:ascii="Times New Roman" w:hAnsi="Times New Roman" w:cs="Times New Roman"/>
          <w:kern w:val="2"/>
        </w:rPr>
      </w:pPr>
      <w:r w:rsidRPr="00A45B69">
        <w:rPr>
          <w:rFonts w:ascii="Times New Roman" w:hAnsi="Times New Roman" w:cs="Times New Roman"/>
          <w:kern w:val="2"/>
        </w:rPr>
        <w:t xml:space="preserve">dla kosztów kursu i egzaminów – </w:t>
      </w:r>
      <w:r w:rsidRPr="00A45B69">
        <w:rPr>
          <w:rFonts w:ascii="Times New Roman" w:hAnsi="Times New Roman" w:cs="Times New Roman"/>
          <w:b/>
          <w:kern w:val="2"/>
        </w:rPr>
        <w:t>1.600 zł</w:t>
      </w:r>
      <w:r w:rsidRPr="00A45B69">
        <w:rPr>
          <w:rFonts w:ascii="Times New Roman" w:hAnsi="Times New Roman" w:cs="Times New Roman"/>
          <w:kern w:val="2"/>
        </w:rPr>
        <w:t>,</w:t>
      </w:r>
    </w:p>
    <w:p w:rsidR="00895C58" w:rsidRPr="00A45B69" w:rsidRDefault="00895C58" w:rsidP="00895C58">
      <w:pPr>
        <w:numPr>
          <w:ilvl w:val="0"/>
          <w:numId w:val="6"/>
        </w:numPr>
        <w:tabs>
          <w:tab w:val="clear" w:pos="1440"/>
        </w:tabs>
        <w:spacing w:before="40" w:after="40" w:line="240" w:lineRule="auto"/>
        <w:ind w:left="1418" w:hanging="425"/>
        <w:jc w:val="both"/>
        <w:rPr>
          <w:rFonts w:ascii="Times New Roman" w:hAnsi="Times New Roman" w:cs="Times New Roman"/>
          <w:kern w:val="2"/>
        </w:rPr>
      </w:pPr>
      <w:r w:rsidRPr="00A45B69">
        <w:rPr>
          <w:rFonts w:ascii="Times New Roman" w:hAnsi="Times New Roman" w:cs="Times New Roman"/>
          <w:kern w:val="2"/>
        </w:rPr>
        <w:t xml:space="preserve">dla pozostałych kosztów uzyskania prawa jazdy </w:t>
      </w:r>
      <w:r w:rsidRPr="00A45B69">
        <w:rPr>
          <w:rFonts w:ascii="Times New Roman" w:hAnsi="Times New Roman" w:cs="Times New Roman"/>
        </w:rPr>
        <w:t xml:space="preserve">w przypadku kursu </w:t>
      </w:r>
      <w:r w:rsidRPr="00A45B69">
        <w:rPr>
          <w:rFonts w:ascii="Times New Roman" w:hAnsi="Times New Roman" w:cs="Times New Roman"/>
          <w:iCs/>
        </w:rPr>
        <w:t>poza miejscowością zamieszkania wnioskodawcy (koszty związane z </w:t>
      </w:r>
      <w:r w:rsidRPr="00A45B69">
        <w:rPr>
          <w:rFonts w:ascii="Times New Roman" w:hAnsi="Times New Roman" w:cs="Times New Roman"/>
          <w:iCs/>
          <w:kern w:val="2"/>
        </w:rPr>
        <w:t xml:space="preserve">zakwaterowaniem, wyżywieniem i dojazdem w okresie trwania kursu) </w:t>
      </w:r>
      <w:r w:rsidRPr="00A45B69">
        <w:rPr>
          <w:rFonts w:ascii="Times New Roman" w:hAnsi="Times New Roman" w:cs="Times New Roman"/>
          <w:kern w:val="2"/>
        </w:rPr>
        <w:t xml:space="preserve">– </w:t>
      </w:r>
      <w:r w:rsidRPr="00A45B69">
        <w:rPr>
          <w:rFonts w:ascii="Times New Roman" w:hAnsi="Times New Roman" w:cs="Times New Roman"/>
          <w:b/>
          <w:kern w:val="2"/>
        </w:rPr>
        <w:t>600 zł</w:t>
      </w:r>
      <w:r w:rsidRPr="00A45B69">
        <w:rPr>
          <w:rFonts w:ascii="Times New Roman" w:hAnsi="Times New Roman" w:cs="Times New Roman"/>
          <w:kern w:val="2"/>
        </w:rPr>
        <w:t>;</w:t>
      </w:r>
    </w:p>
    <w:p w:rsidR="00895C58" w:rsidRPr="00A45B69" w:rsidRDefault="00895C58" w:rsidP="00895C58">
      <w:pPr>
        <w:numPr>
          <w:ilvl w:val="0"/>
          <w:numId w:val="5"/>
        </w:numPr>
        <w:tabs>
          <w:tab w:val="clear" w:pos="644"/>
          <w:tab w:val="num" w:pos="-2552"/>
        </w:tabs>
        <w:spacing w:after="0" w:line="240" w:lineRule="auto"/>
        <w:ind w:left="708" w:hanging="459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b/>
          <w:iCs/>
          <w:color w:val="385623" w:themeColor="accent6" w:themeShade="80"/>
          <w:kern w:val="2"/>
        </w:rPr>
        <w:t>Obszaru B</w:t>
      </w:r>
      <w:r w:rsidRPr="00A45B69">
        <w:rPr>
          <w:rFonts w:ascii="Times New Roman" w:hAnsi="Times New Roman" w:cs="Times New Roman"/>
          <w:iCs/>
          <w:kern w:val="2"/>
        </w:rPr>
        <w:t>: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1032" w:hanging="336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w Zadaniu nr 1:</w:t>
      </w:r>
    </w:p>
    <w:p w:rsidR="00895C58" w:rsidRPr="00A45B69" w:rsidRDefault="00895C58" w:rsidP="00895C58">
      <w:pPr>
        <w:numPr>
          <w:ilvl w:val="0"/>
          <w:numId w:val="8"/>
        </w:numPr>
        <w:tabs>
          <w:tab w:val="clear" w:pos="1440"/>
        </w:tabs>
        <w:spacing w:before="40" w:after="40" w:line="240" w:lineRule="auto"/>
        <w:ind w:left="1418" w:right="-316" w:hanging="425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dla osoby niewidomej – </w:t>
      </w:r>
      <w:r w:rsidRPr="00A45B69">
        <w:rPr>
          <w:rFonts w:ascii="Times New Roman" w:hAnsi="Times New Roman" w:cs="Times New Roman"/>
          <w:b/>
          <w:iCs/>
          <w:kern w:val="2"/>
        </w:rPr>
        <w:t>20.000 zł</w:t>
      </w:r>
      <w:r w:rsidRPr="00A45B69">
        <w:rPr>
          <w:rFonts w:ascii="Times New Roman" w:hAnsi="Times New Roman" w:cs="Times New Roman"/>
          <w:iCs/>
          <w:kern w:val="2"/>
        </w:rPr>
        <w:t xml:space="preserve">, z czego na urządzenia brajlowskie </w:t>
      </w:r>
      <w:r w:rsidRPr="00A45B69">
        <w:rPr>
          <w:rFonts w:ascii="Times New Roman" w:hAnsi="Times New Roman" w:cs="Times New Roman"/>
          <w:b/>
          <w:iCs/>
          <w:kern w:val="2"/>
        </w:rPr>
        <w:t>12.000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8"/>
        </w:numPr>
        <w:tabs>
          <w:tab w:val="clear" w:pos="1440"/>
        </w:tabs>
        <w:spacing w:before="40" w:after="40" w:line="240" w:lineRule="auto"/>
        <w:ind w:left="1418" w:right="-316" w:hanging="425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dla pozostałych osób z dysfunkcją narządu wzroku – </w:t>
      </w:r>
      <w:r w:rsidRPr="00A45B69">
        <w:rPr>
          <w:rFonts w:ascii="Times New Roman" w:hAnsi="Times New Roman" w:cs="Times New Roman"/>
          <w:b/>
          <w:iCs/>
          <w:kern w:val="2"/>
        </w:rPr>
        <w:t>8.000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8"/>
        </w:numPr>
        <w:tabs>
          <w:tab w:val="clear" w:pos="1440"/>
        </w:tabs>
        <w:spacing w:before="40" w:after="40" w:line="240" w:lineRule="auto"/>
        <w:ind w:left="1418" w:hanging="425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dla osoby z dysfunkcją obu kończyn górnych – </w:t>
      </w:r>
      <w:r w:rsidRPr="00A45B69">
        <w:rPr>
          <w:rFonts w:ascii="Times New Roman" w:hAnsi="Times New Roman" w:cs="Times New Roman"/>
          <w:b/>
          <w:iCs/>
          <w:kern w:val="2"/>
        </w:rPr>
        <w:t>5.000 zł,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1032" w:hanging="336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w Zadaniu nr 2:</w:t>
      </w:r>
    </w:p>
    <w:p w:rsidR="00895C58" w:rsidRPr="00A45B69" w:rsidRDefault="00895C58" w:rsidP="00895C58">
      <w:pPr>
        <w:numPr>
          <w:ilvl w:val="0"/>
          <w:numId w:val="7"/>
        </w:numPr>
        <w:tabs>
          <w:tab w:val="clear" w:pos="1440"/>
        </w:tabs>
        <w:spacing w:before="40" w:after="40" w:line="240" w:lineRule="auto"/>
        <w:ind w:left="1418" w:hanging="425"/>
        <w:jc w:val="both"/>
        <w:rPr>
          <w:rFonts w:ascii="Times New Roman" w:hAnsi="Times New Roman" w:cs="Times New Roman"/>
          <w:kern w:val="2"/>
        </w:rPr>
      </w:pPr>
      <w:r w:rsidRPr="00A45B69">
        <w:rPr>
          <w:rFonts w:ascii="Times New Roman" w:hAnsi="Times New Roman" w:cs="Times New Roman"/>
          <w:kern w:val="2"/>
        </w:rPr>
        <w:t xml:space="preserve">dla osoby głuchoniewidomej – </w:t>
      </w:r>
      <w:r w:rsidRPr="00A45B69">
        <w:rPr>
          <w:rFonts w:ascii="Times New Roman" w:hAnsi="Times New Roman" w:cs="Times New Roman"/>
          <w:b/>
          <w:kern w:val="2"/>
        </w:rPr>
        <w:t>4.000 zł</w:t>
      </w:r>
      <w:r w:rsidRPr="00A45B69">
        <w:rPr>
          <w:rFonts w:ascii="Times New Roman" w:hAnsi="Times New Roman" w:cs="Times New Roman"/>
          <w:kern w:val="2"/>
        </w:rPr>
        <w:t>,</w:t>
      </w:r>
    </w:p>
    <w:p w:rsidR="00895C58" w:rsidRPr="00A45B69" w:rsidRDefault="00895C58" w:rsidP="00895C58">
      <w:pPr>
        <w:numPr>
          <w:ilvl w:val="0"/>
          <w:numId w:val="7"/>
        </w:numPr>
        <w:tabs>
          <w:tab w:val="clear" w:pos="1440"/>
        </w:tabs>
        <w:spacing w:before="40" w:after="40" w:line="240" w:lineRule="auto"/>
        <w:ind w:left="1418" w:hanging="425"/>
        <w:jc w:val="both"/>
        <w:rPr>
          <w:rFonts w:ascii="Times New Roman" w:hAnsi="Times New Roman" w:cs="Times New Roman"/>
          <w:kern w:val="2"/>
        </w:rPr>
      </w:pPr>
      <w:r w:rsidRPr="00A45B69">
        <w:rPr>
          <w:rFonts w:ascii="Times New Roman" w:hAnsi="Times New Roman" w:cs="Times New Roman"/>
          <w:kern w:val="2"/>
        </w:rPr>
        <w:t xml:space="preserve">dla pozostałych adresatów obszaru – </w:t>
      </w:r>
      <w:r w:rsidRPr="00A45B69">
        <w:rPr>
          <w:rFonts w:ascii="Times New Roman" w:hAnsi="Times New Roman" w:cs="Times New Roman"/>
          <w:b/>
          <w:kern w:val="2"/>
        </w:rPr>
        <w:t>2.000 zł</w:t>
      </w:r>
      <w:r w:rsidRPr="00A45B69">
        <w:rPr>
          <w:rFonts w:ascii="Times New Roman" w:hAnsi="Times New Roman" w:cs="Times New Roman"/>
          <w:kern w:val="2"/>
        </w:rPr>
        <w:t>,</w:t>
      </w:r>
    </w:p>
    <w:p w:rsidR="00895C58" w:rsidRPr="00A45B69" w:rsidRDefault="00895C58" w:rsidP="00895C58">
      <w:pPr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z możliwością zwiększenia kwoty dofinansowania w indywidualnych przypadkach, maksymalnie o 100%, wyłącznie w przypadku, gdy poziom dysfunkcji narządu wzroku wymaga zwiększenia liczby godzin szkolenia</w:t>
      </w:r>
    </w:p>
    <w:p w:rsidR="00895C58" w:rsidRPr="00A45B69" w:rsidRDefault="00895C58" w:rsidP="00895C58">
      <w:pPr>
        <w:numPr>
          <w:ilvl w:val="0"/>
          <w:numId w:val="5"/>
        </w:numPr>
        <w:tabs>
          <w:tab w:val="clear" w:pos="644"/>
          <w:tab w:val="num" w:pos="-2552"/>
          <w:tab w:val="num" w:pos="360"/>
        </w:tabs>
        <w:spacing w:before="40" w:after="40" w:line="240" w:lineRule="auto"/>
        <w:ind w:left="709" w:hanging="457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b/>
          <w:iCs/>
          <w:color w:val="385623" w:themeColor="accent6" w:themeShade="80"/>
          <w:kern w:val="2"/>
        </w:rPr>
        <w:t>Obszaru</w:t>
      </w:r>
      <w:r w:rsidRPr="00A45B69">
        <w:rPr>
          <w:rFonts w:ascii="Times New Roman" w:hAnsi="Times New Roman" w:cs="Times New Roman"/>
          <w:b/>
          <w:iCs/>
          <w:color w:val="385623" w:themeColor="accent6" w:themeShade="80"/>
          <w:kern w:val="2"/>
        </w:rPr>
        <w:t xml:space="preserve"> C</w:t>
      </w:r>
      <w:r w:rsidRPr="00A45B69">
        <w:rPr>
          <w:rFonts w:ascii="Times New Roman" w:hAnsi="Times New Roman" w:cs="Times New Roman"/>
          <w:iCs/>
          <w:kern w:val="2"/>
        </w:rPr>
        <w:t>: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1032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w Zadaniu nr 2 – </w:t>
      </w:r>
      <w:r w:rsidRPr="00A45B69">
        <w:rPr>
          <w:rFonts w:ascii="Times New Roman" w:hAnsi="Times New Roman" w:cs="Times New Roman"/>
          <w:b/>
          <w:iCs/>
          <w:kern w:val="2"/>
        </w:rPr>
        <w:t>3.000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1032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w Zadaniu nr 3 dla protezy na III poziomie jakości, przy amputacji:</w:t>
      </w:r>
    </w:p>
    <w:p w:rsidR="00895C58" w:rsidRPr="00A45B69" w:rsidRDefault="00895C58" w:rsidP="00895C58">
      <w:pPr>
        <w:numPr>
          <w:ilvl w:val="0"/>
          <w:numId w:val="9"/>
        </w:numPr>
        <w:tabs>
          <w:tab w:val="clear" w:pos="1578"/>
          <w:tab w:val="num" w:pos="1224"/>
        </w:tabs>
        <w:spacing w:before="40" w:after="40" w:line="240" w:lineRule="auto"/>
        <w:ind w:left="1248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w zakresie ręki – </w:t>
      </w:r>
      <w:r w:rsidRPr="00A45B69">
        <w:rPr>
          <w:rFonts w:ascii="Times New Roman" w:hAnsi="Times New Roman" w:cs="Times New Roman"/>
          <w:b/>
          <w:iCs/>
          <w:kern w:val="2"/>
        </w:rPr>
        <w:t>9.000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9"/>
        </w:numPr>
        <w:tabs>
          <w:tab w:val="clear" w:pos="1578"/>
          <w:tab w:val="num" w:pos="1224"/>
        </w:tabs>
        <w:spacing w:before="40" w:after="40" w:line="240" w:lineRule="auto"/>
        <w:ind w:left="1248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przedramienia – </w:t>
      </w:r>
      <w:r w:rsidRPr="00A45B69">
        <w:rPr>
          <w:rFonts w:ascii="Times New Roman" w:hAnsi="Times New Roman" w:cs="Times New Roman"/>
          <w:b/>
          <w:iCs/>
          <w:kern w:val="2"/>
        </w:rPr>
        <w:t>20.000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9"/>
        </w:numPr>
        <w:tabs>
          <w:tab w:val="clear" w:pos="1578"/>
          <w:tab w:val="num" w:pos="1224"/>
        </w:tabs>
        <w:spacing w:before="40" w:after="40" w:line="240" w:lineRule="auto"/>
        <w:ind w:left="1248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ramienia lub wyłuszczeniu w stawie barkowym – </w:t>
      </w:r>
      <w:r w:rsidRPr="00A45B69">
        <w:rPr>
          <w:rFonts w:ascii="Times New Roman" w:hAnsi="Times New Roman" w:cs="Times New Roman"/>
          <w:b/>
          <w:iCs/>
          <w:kern w:val="2"/>
        </w:rPr>
        <w:t>26.000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9"/>
        </w:numPr>
        <w:tabs>
          <w:tab w:val="clear" w:pos="1578"/>
          <w:tab w:val="num" w:pos="1224"/>
        </w:tabs>
        <w:spacing w:before="40" w:after="40" w:line="240" w:lineRule="auto"/>
        <w:ind w:left="1248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lastRenderedPageBreak/>
        <w:t xml:space="preserve">na poziomie podudzia – </w:t>
      </w:r>
      <w:r w:rsidRPr="00A45B69">
        <w:rPr>
          <w:rFonts w:ascii="Times New Roman" w:hAnsi="Times New Roman" w:cs="Times New Roman"/>
          <w:b/>
          <w:iCs/>
          <w:kern w:val="2"/>
        </w:rPr>
        <w:t>14.000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9"/>
        </w:numPr>
        <w:tabs>
          <w:tab w:val="clear" w:pos="1578"/>
          <w:tab w:val="num" w:pos="1224"/>
        </w:tabs>
        <w:spacing w:before="40" w:after="40" w:line="240" w:lineRule="auto"/>
        <w:ind w:left="1248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na wysokości uda (także przez staw kolanowy) – </w:t>
      </w:r>
      <w:r w:rsidRPr="00A45B69">
        <w:rPr>
          <w:rFonts w:ascii="Times New Roman" w:hAnsi="Times New Roman" w:cs="Times New Roman"/>
          <w:b/>
          <w:iCs/>
          <w:kern w:val="2"/>
        </w:rPr>
        <w:t>20.000 zł</w:t>
      </w:r>
      <w:r w:rsidRPr="00A45B69">
        <w:rPr>
          <w:rFonts w:ascii="Times New Roman" w:hAnsi="Times New Roman" w:cs="Times New Roman"/>
          <w:iCs/>
          <w:kern w:val="2"/>
        </w:rPr>
        <w:t>,</w:t>
      </w:r>
    </w:p>
    <w:p w:rsidR="00895C58" w:rsidRPr="00A45B69" w:rsidRDefault="00895C58" w:rsidP="00895C58">
      <w:pPr>
        <w:numPr>
          <w:ilvl w:val="0"/>
          <w:numId w:val="9"/>
        </w:numPr>
        <w:tabs>
          <w:tab w:val="clear" w:pos="1578"/>
          <w:tab w:val="num" w:pos="1224"/>
        </w:tabs>
        <w:spacing w:before="40" w:after="40" w:line="240" w:lineRule="auto"/>
        <w:ind w:left="1248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uda lub wyłuszczeniu w stawie biodrowym – </w:t>
      </w:r>
      <w:r w:rsidRPr="00A45B69">
        <w:rPr>
          <w:rFonts w:ascii="Times New Roman" w:hAnsi="Times New Roman" w:cs="Times New Roman"/>
          <w:b/>
          <w:iCs/>
          <w:kern w:val="2"/>
        </w:rPr>
        <w:t>25.000 zł,</w:t>
      </w:r>
    </w:p>
    <w:p w:rsidR="00895C58" w:rsidRPr="00A45B69" w:rsidRDefault="00895C58" w:rsidP="00895C58">
      <w:pPr>
        <w:spacing w:before="40" w:after="40"/>
        <w:ind w:left="1032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>z możliwością zwiększenia kwoty dofinansowania w wyjątkowych przypadkach i wyłącznie wtedy, gdy celowość zwiększenia jakości protezy do poziomu IV (dla </w:t>
      </w:r>
      <w:r w:rsidRPr="00A45B69">
        <w:rPr>
          <w:rFonts w:ascii="Times New Roman" w:hAnsi="Times New Roman" w:cs="Times New Roman"/>
        </w:rPr>
        <w:t xml:space="preserve">zdolności do pracy wnioskodawcy), </w:t>
      </w:r>
      <w:r w:rsidRPr="00A45B69">
        <w:rPr>
          <w:rFonts w:ascii="Times New Roman" w:hAnsi="Times New Roman" w:cs="Times New Roman"/>
          <w:iCs/>
          <w:kern w:val="2"/>
        </w:rPr>
        <w:t>zostanie zarekomendowana przez eksperta PFRON,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1032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w Zadaniu nr 4 – do 30% kwot, o których mowa w lit. b, </w:t>
      </w:r>
    </w:p>
    <w:p w:rsidR="00895C58" w:rsidRPr="00A45B69" w:rsidRDefault="00895C58" w:rsidP="00895C58">
      <w:pPr>
        <w:numPr>
          <w:ilvl w:val="1"/>
          <w:numId w:val="5"/>
        </w:numPr>
        <w:tabs>
          <w:tab w:val="clear" w:pos="1920"/>
        </w:tabs>
        <w:spacing w:before="40" w:after="40" w:line="240" w:lineRule="auto"/>
        <w:ind w:left="1032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iCs/>
          <w:kern w:val="2"/>
        </w:rPr>
        <w:t xml:space="preserve">w Zadaniu nr 3 i nr 4 dla </w:t>
      </w:r>
      <w:r w:rsidRPr="00A45B69">
        <w:rPr>
          <w:rFonts w:ascii="Times New Roman" w:eastAsia="Arial Unicode MS" w:hAnsi="Times New Roman" w:cs="Times New Roman"/>
        </w:rPr>
        <w:t xml:space="preserve">refundacji kosztów dojazdu beneficjenta programu na spotkanie z ekspertem PFRON lub kosztów dojazdu eksperta PFRON na spotkanie z beneficjentem programu </w:t>
      </w:r>
      <w:r w:rsidRPr="00A45B69">
        <w:rPr>
          <w:rFonts w:ascii="Times New Roman" w:hAnsi="Times New Roman" w:cs="Times New Roman"/>
          <w:iCs/>
          <w:kern w:val="2"/>
        </w:rPr>
        <w:t>– w zależności od poniesionych kosztów, nie więcej niż 200 zł;</w:t>
      </w:r>
    </w:p>
    <w:p w:rsidR="00895C58" w:rsidRPr="00A45B69" w:rsidRDefault="00895C58" w:rsidP="00895C58">
      <w:pPr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/>
          <w:iCs/>
          <w:color w:val="385623" w:themeColor="accent6" w:themeShade="80"/>
          <w:kern w:val="2"/>
        </w:rPr>
        <w:t>Obszaru D</w:t>
      </w:r>
      <w:r w:rsidRPr="00A45B69">
        <w:rPr>
          <w:rFonts w:ascii="Times New Roman" w:hAnsi="Times New Roman" w:cs="Times New Roman"/>
          <w:iCs/>
          <w:kern w:val="2"/>
        </w:rPr>
        <w:t xml:space="preserve"> </w:t>
      </w:r>
      <w:r w:rsidRPr="00A45B69">
        <w:rPr>
          <w:rFonts w:ascii="Times New Roman" w:hAnsi="Times New Roman" w:cs="Times New Roman"/>
          <w:b/>
          <w:iCs/>
          <w:kern w:val="2"/>
        </w:rPr>
        <w:t xml:space="preserve">– </w:t>
      </w:r>
      <w:r w:rsidRPr="00A45B69">
        <w:rPr>
          <w:rFonts w:ascii="Times New Roman" w:hAnsi="Times New Roman" w:cs="Times New Roman"/>
          <w:b/>
        </w:rPr>
        <w:t>200 zł</w:t>
      </w:r>
      <w:r w:rsidRPr="00A45B69">
        <w:rPr>
          <w:rFonts w:ascii="Times New Roman" w:hAnsi="Times New Roman" w:cs="Times New Roman"/>
        </w:rPr>
        <w:t xml:space="preserve"> miesięcznie – tytułem </w:t>
      </w:r>
      <w:r w:rsidRPr="00A45B69">
        <w:rPr>
          <w:rFonts w:ascii="Times New Roman" w:hAnsi="Times New Roman" w:cs="Times New Roman"/>
          <w:iCs/>
          <w:kern w:val="2"/>
        </w:rPr>
        <w:t xml:space="preserve">kosztów </w:t>
      </w:r>
      <w:r w:rsidRPr="00A45B69">
        <w:rPr>
          <w:rFonts w:ascii="Times New Roman" w:hAnsi="Times New Roman" w:cs="Times New Roman"/>
        </w:rPr>
        <w:t>opieki nad jedną (każdą) osobą zależną</w:t>
      </w:r>
      <w:r w:rsidR="002F793E" w:rsidRPr="00A45B69">
        <w:rPr>
          <w:rFonts w:ascii="Times New Roman" w:hAnsi="Times New Roman" w:cs="Times New Roman"/>
        </w:rPr>
        <w:t>.</w:t>
      </w:r>
    </w:p>
    <w:p w:rsidR="00895C58" w:rsidRPr="00A45B69" w:rsidRDefault="00895C58" w:rsidP="00895C58">
      <w:pPr>
        <w:pStyle w:val="NormalnyWeb"/>
        <w:spacing w:before="120" w:beforeAutospacing="0" w:after="120" w:afterAutospacing="0"/>
        <w:ind w:left="357" w:hanging="357"/>
        <w:jc w:val="both"/>
        <w:rPr>
          <w:b/>
          <w:iCs/>
          <w:color w:val="385623" w:themeColor="accent6" w:themeShade="80"/>
          <w:kern w:val="2"/>
          <w:sz w:val="22"/>
          <w:szCs w:val="22"/>
        </w:rPr>
      </w:pP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3.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 xml:space="preserve">Udział własny wnioskodawcy 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 xml:space="preserve">w </w:t>
      </w:r>
      <w:r w:rsidRPr="00A45B69">
        <w:rPr>
          <w:iCs/>
          <w:kern w:val="2"/>
          <w:sz w:val="22"/>
          <w:szCs w:val="22"/>
        </w:rPr>
        <w:t xml:space="preserve"> 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M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odule I wynosi co najmniej:</w:t>
      </w:r>
    </w:p>
    <w:p w:rsidR="00895C58" w:rsidRPr="00A45B69" w:rsidRDefault="00895C58" w:rsidP="00895C58">
      <w:pPr>
        <w:pStyle w:val="NormalnyWeb"/>
        <w:spacing w:before="0" w:beforeAutospacing="0" w:after="0" w:afterAutospacing="0"/>
        <w:ind w:left="1134" w:hanging="425"/>
        <w:jc w:val="both"/>
        <w:rPr>
          <w:iCs/>
          <w:kern w:val="2"/>
          <w:sz w:val="22"/>
          <w:szCs w:val="22"/>
        </w:rPr>
      </w:pPr>
      <w:r w:rsidRPr="00A45B69">
        <w:rPr>
          <w:iCs/>
          <w:kern w:val="2"/>
          <w:sz w:val="22"/>
          <w:szCs w:val="22"/>
        </w:rPr>
        <w:t>a)</w:t>
      </w:r>
      <w:r w:rsidRPr="00A45B69">
        <w:rPr>
          <w:iCs/>
          <w:kern w:val="2"/>
          <w:sz w:val="22"/>
          <w:szCs w:val="22"/>
        </w:rPr>
        <w:tab/>
        <w:t>10% ceny brutto zakupu/usługi w ramach Obszaru B, Zadanie nr 1, Obszaru C Zadania: nr 3 i nr 4,</w:t>
      </w:r>
    </w:p>
    <w:p w:rsidR="00895C58" w:rsidRPr="00A45B69" w:rsidRDefault="00895C58" w:rsidP="00895C58">
      <w:pPr>
        <w:pStyle w:val="NormalnyWeb"/>
        <w:spacing w:before="0" w:beforeAutospacing="0" w:after="0" w:afterAutospacing="0"/>
        <w:ind w:left="1134" w:hanging="425"/>
        <w:jc w:val="both"/>
        <w:rPr>
          <w:iCs/>
          <w:kern w:val="2"/>
          <w:sz w:val="22"/>
          <w:szCs w:val="22"/>
        </w:rPr>
      </w:pPr>
      <w:r w:rsidRPr="00A45B69">
        <w:rPr>
          <w:iCs/>
          <w:kern w:val="2"/>
          <w:sz w:val="22"/>
          <w:szCs w:val="22"/>
        </w:rPr>
        <w:t>b)</w:t>
      </w:r>
      <w:r w:rsidRPr="00A45B69">
        <w:rPr>
          <w:iCs/>
          <w:kern w:val="2"/>
          <w:sz w:val="22"/>
          <w:szCs w:val="22"/>
        </w:rPr>
        <w:tab/>
        <w:t>15% ceny brutto zakupu/usługi w ramach Obszaru A, Zadanie nr 1 oraz Obszaru D,</w:t>
      </w:r>
    </w:p>
    <w:p w:rsidR="00895C58" w:rsidRPr="00A45B69" w:rsidRDefault="00895C58" w:rsidP="00895C58">
      <w:pPr>
        <w:pStyle w:val="NormalnyWeb"/>
        <w:tabs>
          <w:tab w:val="left" w:pos="1134"/>
        </w:tabs>
        <w:spacing w:before="0" w:beforeAutospacing="0" w:after="0" w:afterAutospacing="0"/>
        <w:ind w:left="426" w:firstLine="283"/>
        <w:jc w:val="both"/>
        <w:rPr>
          <w:iCs/>
          <w:kern w:val="2"/>
          <w:sz w:val="22"/>
          <w:szCs w:val="22"/>
        </w:rPr>
      </w:pPr>
      <w:r w:rsidRPr="00A45B69">
        <w:rPr>
          <w:iCs/>
          <w:kern w:val="2"/>
          <w:sz w:val="22"/>
          <w:szCs w:val="22"/>
        </w:rPr>
        <w:t>c)</w:t>
      </w:r>
      <w:r w:rsidRPr="00A45B69">
        <w:rPr>
          <w:iCs/>
          <w:kern w:val="2"/>
          <w:sz w:val="22"/>
          <w:szCs w:val="22"/>
        </w:rPr>
        <w:tab/>
        <w:t>25% ceny brutto zakupu/usługi w ramach Obszaru A: Zadanie nr 2</w:t>
      </w:r>
    </w:p>
    <w:p w:rsidR="00895C58" w:rsidRPr="00A45B69" w:rsidRDefault="00895C58" w:rsidP="00895C58">
      <w:pPr>
        <w:pStyle w:val="NormalnyWeb"/>
        <w:tabs>
          <w:tab w:val="left" w:pos="1134"/>
        </w:tabs>
        <w:spacing w:before="0" w:beforeAutospacing="0" w:after="0" w:afterAutospacing="0"/>
        <w:jc w:val="both"/>
        <w:rPr>
          <w:iCs/>
          <w:kern w:val="2"/>
          <w:sz w:val="22"/>
          <w:szCs w:val="22"/>
        </w:rPr>
      </w:pPr>
    </w:p>
    <w:p w:rsidR="00895C58" w:rsidRPr="00A45B69" w:rsidRDefault="00895C58" w:rsidP="00895C58">
      <w:pPr>
        <w:tabs>
          <w:tab w:val="num" w:pos="2880"/>
        </w:tabs>
        <w:spacing w:before="60" w:after="60"/>
        <w:jc w:val="both"/>
        <w:rPr>
          <w:rFonts w:ascii="Times New Roman" w:hAnsi="Times New Roman" w:cs="Times New Roman"/>
          <w:b/>
          <w:color w:val="385623" w:themeColor="accent6" w:themeShade="80"/>
        </w:rPr>
      </w:pPr>
      <w:r w:rsidRPr="00A45B69">
        <w:rPr>
          <w:rFonts w:ascii="Times New Roman" w:hAnsi="Times New Roman" w:cs="Times New Roman"/>
          <w:b/>
          <w:color w:val="385623" w:themeColor="accent6" w:themeShade="80"/>
        </w:rPr>
        <w:t>4.W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 xml:space="preserve"> 2018 roku preferowane są wnioski dotyczące osób niepełnosprawnych, które:</w:t>
      </w:r>
    </w:p>
    <w:p w:rsidR="00895C58" w:rsidRPr="00A45B69" w:rsidRDefault="00895C58" w:rsidP="00895C58">
      <w:pPr>
        <w:tabs>
          <w:tab w:val="num" w:pos="2880"/>
        </w:tabs>
        <w:spacing w:before="60" w:after="60"/>
        <w:ind w:left="1134" w:hanging="425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a)</w:t>
      </w:r>
      <w:r w:rsidRPr="00A45B69">
        <w:rPr>
          <w:rFonts w:ascii="Times New Roman" w:hAnsi="Times New Roman" w:cs="Times New Roman"/>
        </w:rPr>
        <w:tab/>
        <w:t>są zatrudnione - suma punktów preferencyjnych n</w:t>
      </w:r>
      <w:r w:rsidR="002F793E" w:rsidRPr="00A45B69">
        <w:rPr>
          <w:rFonts w:ascii="Times New Roman" w:hAnsi="Times New Roman" w:cs="Times New Roman"/>
        </w:rPr>
        <w:t>ie może stanowić mniej niż 40%,</w:t>
      </w:r>
    </w:p>
    <w:p w:rsidR="00895C58" w:rsidRPr="00A45B69" w:rsidRDefault="00895C58" w:rsidP="00895C58">
      <w:pPr>
        <w:tabs>
          <w:tab w:val="num" w:pos="2880"/>
        </w:tabs>
        <w:spacing w:before="60" w:after="60"/>
        <w:ind w:left="1134" w:hanging="425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b)</w:t>
      </w:r>
      <w:r w:rsidRPr="00A45B69">
        <w:rPr>
          <w:rFonts w:ascii="Times New Roman" w:hAnsi="Times New Roman" w:cs="Times New Roman"/>
        </w:rPr>
        <w:tab/>
        <w:t>w 2017 lub w 2018 roku zostały poszkodowane w wyniku działania żywiołu</w:t>
      </w:r>
      <w:r w:rsidRPr="00A45B69">
        <w:rPr>
          <w:rFonts w:ascii="Times New Roman" w:hAnsi="Times New Roman" w:cs="Times New Roman"/>
          <w:iCs/>
          <w:kern w:val="2"/>
        </w:rPr>
        <w:t xml:space="preserve"> lub innych zdarzeń losowych</w:t>
      </w:r>
      <w:r w:rsidRPr="00A45B69">
        <w:rPr>
          <w:rFonts w:ascii="Times New Roman" w:hAnsi="Times New Roman" w:cs="Times New Roman"/>
        </w:rPr>
        <w:t xml:space="preserve"> - suma punktów preferencyjnych nie może stanowić mniej niż 10%,</w:t>
      </w:r>
    </w:p>
    <w:p w:rsidR="00895C58" w:rsidRPr="00A45B69" w:rsidRDefault="00895C58" w:rsidP="002F793E">
      <w:pPr>
        <w:tabs>
          <w:tab w:val="num" w:pos="2880"/>
        </w:tabs>
        <w:spacing w:before="60" w:after="60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maksymalnej liczby punktów możliwych do udzielenia w ramach oceny merytorycznej wniosku; pozostałe kryteria oceny merytorycznej wniosków określa realizator prog</w:t>
      </w:r>
      <w:r w:rsidRPr="00A45B69">
        <w:rPr>
          <w:rFonts w:ascii="Times New Roman" w:hAnsi="Times New Roman" w:cs="Times New Roman"/>
        </w:rPr>
        <w:t>ramu.</w:t>
      </w:r>
    </w:p>
    <w:p w:rsidR="00895C58" w:rsidRPr="00A45B69" w:rsidRDefault="00895C58" w:rsidP="00895C58">
      <w:pPr>
        <w:tabs>
          <w:tab w:val="num" w:pos="2880"/>
        </w:tabs>
        <w:spacing w:before="60" w:after="60"/>
        <w:jc w:val="both"/>
        <w:rPr>
          <w:rFonts w:ascii="Times New Roman" w:hAnsi="Times New Roman" w:cs="Times New Roman"/>
          <w:b/>
          <w:color w:val="385623" w:themeColor="accent6" w:themeShade="80"/>
        </w:rPr>
      </w:pPr>
      <w:r w:rsidRPr="00A45B69">
        <w:rPr>
          <w:rFonts w:ascii="Times New Roman" w:hAnsi="Times New Roman" w:cs="Times New Roman"/>
          <w:b/>
          <w:color w:val="385623" w:themeColor="accent6" w:themeShade="80"/>
        </w:rPr>
        <w:t>5. Zakres pojęć:</w:t>
      </w:r>
    </w:p>
    <w:p w:rsidR="00895C58" w:rsidRPr="00A45B69" w:rsidRDefault="00895C58" w:rsidP="00895C58">
      <w:pPr>
        <w:pStyle w:val="StandI"/>
        <w:spacing w:before="60" w:after="60" w:line="240" w:lineRule="auto"/>
        <w:rPr>
          <w:sz w:val="22"/>
          <w:szCs w:val="22"/>
        </w:rPr>
      </w:pPr>
      <w:r w:rsidRPr="00A45B69">
        <w:rPr>
          <w:b/>
          <w:bCs/>
          <w:iCs/>
          <w:sz w:val="22"/>
          <w:szCs w:val="22"/>
        </w:rPr>
        <w:t xml:space="preserve">- 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>dysfunkcja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 xml:space="preserve"> narządu ruchu</w:t>
      </w:r>
      <w:r w:rsidRPr="00A45B69">
        <w:rPr>
          <w:iCs/>
          <w:color w:val="385623" w:themeColor="accent6" w:themeShade="80"/>
          <w:sz w:val="22"/>
          <w:szCs w:val="22"/>
        </w:rPr>
        <w:t xml:space="preserve"> (</w:t>
      </w:r>
      <w:r w:rsidRPr="00A45B69">
        <w:rPr>
          <w:b/>
          <w:bCs/>
          <w:color w:val="385623" w:themeColor="accent6" w:themeShade="80"/>
          <w:sz w:val="22"/>
          <w:szCs w:val="22"/>
        </w:rPr>
        <w:t>w przypadku Obszaru A</w:t>
      </w:r>
      <w:r w:rsidRPr="00A45B69">
        <w:rPr>
          <w:b/>
          <w:bCs/>
          <w:sz w:val="22"/>
          <w:szCs w:val="22"/>
        </w:rPr>
        <w:t xml:space="preserve">) </w:t>
      </w:r>
      <w:r w:rsidRPr="00A45B69">
        <w:rPr>
          <w:sz w:val="22"/>
          <w:szCs w:val="22"/>
        </w:rPr>
        <w:t xml:space="preserve">– należy przez to rozumieć </w:t>
      </w:r>
      <w:r w:rsidRPr="00A45B69">
        <w:rPr>
          <w:iCs/>
          <w:sz w:val="22"/>
          <w:szCs w:val="22"/>
        </w:rPr>
        <w:t>dysfunkcję stanowiącą podstawę orzeczenia o znacznym lub umiarkowanym stopniu niepełnosprawności (także orzeczenia o niepełnosprawności), w przypadku osób niepełnosprawnych</w:t>
      </w:r>
      <w:r w:rsidRPr="00A45B69">
        <w:rPr>
          <w:sz w:val="22"/>
          <w:szCs w:val="22"/>
        </w:rPr>
        <w:t xml:space="preserve"> z dysfunkcją narządu ruchu, która nie jest przyczyną wydania orzeczenia dot. niepełnosprawności, ale jest konsekwencją ujętych w orzeczeniu schorzeń (np. o charakterze neurologicznym - symbol orzeczenia: 10-N lub całościowych zaburzeń rozwojowych - symbol orzeczenia: 12-C), wnioski mogą zostać pozytywnie zweryfikowane pod względem formalnym pod warunkiem, że wnioskodawca dołączy do wniosku zaświadczenie lekarza specjalisty potwierdzające, iż następstwem schorzeń, stanowiących podstawę orzeczeni</w:t>
      </w:r>
      <w:r w:rsidR="002F793E" w:rsidRPr="00A45B69">
        <w:rPr>
          <w:sz w:val="22"/>
          <w:szCs w:val="22"/>
        </w:rPr>
        <w:t>a jest dysfunkcja narządu ruchu,</w:t>
      </w:r>
    </w:p>
    <w:p w:rsidR="00895C58" w:rsidRPr="00A45B69" w:rsidRDefault="00895C58" w:rsidP="00895C58">
      <w:pPr>
        <w:pStyle w:val="StandI"/>
        <w:tabs>
          <w:tab w:val="num" w:pos="744"/>
          <w:tab w:val="num" w:pos="851"/>
          <w:tab w:val="num" w:pos="928"/>
        </w:tabs>
        <w:spacing w:before="60" w:after="60" w:line="240" w:lineRule="auto"/>
        <w:rPr>
          <w:sz w:val="22"/>
          <w:szCs w:val="22"/>
        </w:rPr>
      </w:pPr>
      <w:r w:rsidRPr="00A45B69">
        <w:rPr>
          <w:b/>
          <w:bCs/>
          <w:iCs/>
          <w:sz w:val="22"/>
          <w:szCs w:val="22"/>
        </w:rPr>
        <w:t xml:space="preserve">- 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>dysfunkcja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 xml:space="preserve"> narządu wzroku</w:t>
      </w:r>
      <w:r w:rsidRPr="00A45B69">
        <w:rPr>
          <w:iCs/>
          <w:color w:val="385623" w:themeColor="accent6" w:themeShade="80"/>
          <w:sz w:val="22"/>
          <w:szCs w:val="22"/>
        </w:rPr>
        <w:t xml:space="preserve"> (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>w przypadku Obszaru B)</w:t>
      </w:r>
      <w:r w:rsidRPr="00A45B69">
        <w:rPr>
          <w:iCs/>
          <w:color w:val="385623" w:themeColor="accent6" w:themeShade="80"/>
          <w:sz w:val="22"/>
          <w:szCs w:val="22"/>
        </w:rPr>
        <w:t xml:space="preserve"> </w:t>
      </w:r>
      <w:r w:rsidRPr="00A45B69">
        <w:rPr>
          <w:iCs/>
          <w:sz w:val="22"/>
          <w:szCs w:val="22"/>
        </w:rPr>
        <w:t xml:space="preserve">- </w:t>
      </w:r>
      <w:r w:rsidRPr="00A45B69">
        <w:rPr>
          <w:sz w:val="22"/>
          <w:szCs w:val="22"/>
        </w:rPr>
        <w:t xml:space="preserve">należy przez to rozumieć </w:t>
      </w:r>
      <w:r w:rsidRPr="00A45B69">
        <w:rPr>
          <w:iCs/>
          <w:sz w:val="22"/>
          <w:szCs w:val="22"/>
        </w:rPr>
        <w:t>dysfunkcję wzroku stanowiącą powód wydania orzeczenia o znacznym stopniu niepełnosprawności, a także w przypadku:</w:t>
      </w:r>
    </w:p>
    <w:p w:rsidR="00895C58" w:rsidRPr="00A45B69" w:rsidRDefault="00895C58" w:rsidP="00895C58">
      <w:pPr>
        <w:pStyle w:val="StandI"/>
        <w:numPr>
          <w:ilvl w:val="1"/>
          <w:numId w:val="11"/>
        </w:numPr>
        <w:tabs>
          <w:tab w:val="clear" w:pos="2160"/>
        </w:tabs>
        <w:spacing w:after="0" w:line="240" w:lineRule="auto"/>
        <w:ind w:left="1151" w:hanging="357"/>
        <w:rPr>
          <w:b/>
          <w:sz w:val="22"/>
          <w:szCs w:val="22"/>
        </w:rPr>
      </w:pPr>
      <w:r w:rsidRPr="00A45B69">
        <w:rPr>
          <w:b/>
          <w:iCs/>
          <w:sz w:val="22"/>
          <w:szCs w:val="22"/>
        </w:rPr>
        <w:t xml:space="preserve">gdy dysfunkcja narządu wzroku nie jest przyczyną wydania orzeczenia o znacznym </w:t>
      </w:r>
      <w:bookmarkStart w:id="0" w:name="_GoBack"/>
      <w:bookmarkEnd w:id="0"/>
      <w:r w:rsidRPr="00A45B69">
        <w:rPr>
          <w:b/>
          <w:iCs/>
          <w:sz w:val="22"/>
          <w:szCs w:val="22"/>
        </w:rPr>
        <w:t xml:space="preserve">stopniu niepełnosprawności, ale wnioskodawca przedłoży zaświadczenie lekarskie wystawione przez lekarza okulistę potwierdzające, że osoba niepełnosprawna, której dotyczy wniosek, </w:t>
      </w:r>
      <w:r w:rsidRPr="00A45B69">
        <w:rPr>
          <w:b/>
          <w:sz w:val="22"/>
          <w:szCs w:val="22"/>
        </w:rPr>
        <w:t>ma ostrość wzroku (w korekcji) w oku lepszym równą lub poniżej 0,05 i/lub ma zwężenie pola widzenia do 20 stopni,</w:t>
      </w:r>
      <w:r w:rsidRPr="00A45B69">
        <w:rPr>
          <w:b/>
          <w:bCs/>
          <w:iCs/>
          <w:sz w:val="22"/>
          <w:szCs w:val="22"/>
        </w:rPr>
        <w:t xml:space="preserve"> </w:t>
      </w:r>
    </w:p>
    <w:p w:rsidR="00895C58" w:rsidRPr="00A45B69" w:rsidRDefault="00895C58" w:rsidP="00895C58">
      <w:pPr>
        <w:pStyle w:val="StandI"/>
        <w:numPr>
          <w:ilvl w:val="1"/>
          <w:numId w:val="11"/>
        </w:numPr>
        <w:tabs>
          <w:tab w:val="clear" w:pos="2160"/>
        </w:tabs>
        <w:spacing w:after="0" w:line="240" w:lineRule="auto"/>
        <w:ind w:left="1151" w:hanging="357"/>
        <w:rPr>
          <w:b/>
          <w:sz w:val="22"/>
          <w:szCs w:val="22"/>
        </w:rPr>
      </w:pPr>
      <w:r w:rsidRPr="00A45B69">
        <w:rPr>
          <w:b/>
          <w:iCs/>
          <w:sz w:val="22"/>
          <w:szCs w:val="22"/>
        </w:rPr>
        <w:t xml:space="preserve">osób niepełnosprawnych w wieku do 16 roku życia - gdy wnioskodawca przedłoży zaświadczenie lekarskie wystawione przez lekarza okulistę potwierdzające, że osoba niepełnosprawna, której dotyczy wniosek, </w:t>
      </w:r>
      <w:r w:rsidRPr="00A45B69">
        <w:rPr>
          <w:b/>
          <w:sz w:val="22"/>
          <w:szCs w:val="22"/>
        </w:rPr>
        <w:t>ma ostrość wzroku (w korekcji) w oku lepszym równą lub poniżej 0,1 i/lub ma zwężenie pola widzenia do 30 stopni,</w:t>
      </w:r>
    </w:p>
    <w:p w:rsidR="00895C58" w:rsidRPr="00A45B69" w:rsidRDefault="00895C58" w:rsidP="00895C58">
      <w:pPr>
        <w:pStyle w:val="StandI"/>
        <w:spacing w:after="0" w:line="240" w:lineRule="auto"/>
        <w:rPr>
          <w:b/>
          <w:sz w:val="22"/>
          <w:szCs w:val="22"/>
        </w:rPr>
      </w:pPr>
      <w:r w:rsidRPr="00A45B69">
        <w:rPr>
          <w:b/>
          <w:sz w:val="22"/>
          <w:szCs w:val="22"/>
        </w:rPr>
        <w:t>przy czym osoby niepełnosprawne posiadające dysfunkcje narządu wzroku wymienione w lit. a i lit. b, są traktowane jak osoby niewidome</w:t>
      </w:r>
      <w:r w:rsidR="002F793E" w:rsidRPr="00A45B69">
        <w:rPr>
          <w:b/>
          <w:iCs/>
          <w:sz w:val="22"/>
          <w:szCs w:val="22"/>
        </w:rPr>
        <w:t>,</w:t>
      </w:r>
    </w:p>
    <w:p w:rsidR="00895C58" w:rsidRPr="00A45B69" w:rsidRDefault="00895C58" w:rsidP="00895C58">
      <w:pPr>
        <w:pStyle w:val="StandI"/>
        <w:spacing w:before="60" w:after="0" w:line="240" w:lineRule="auto"/>
        <w:rPr>
          <w:bCs/>
          <w:iCs/>
          <w:sz w:val="22"/>
          <w:szCs w:val="22"/>
        </w:rPr>
      </w:pPr>
      <w:r w:rsidRPr="00A45B69">
        <w:rPr>
          <w:b/>
          <w:bCs/>
          <w:iCs/>
          <w:sz w:val="22"/>
          <w:szCs w:val="22"/>
        </w:rPr>
        <w:t xml:space="preserve">- 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>dysfunkcja</w:t>
      </w:r>
      <w:r w:rsidRPr="00A45B69">
        <w:rPr>
          <w:b/>
          <w:bCs/>
          <w:iCs/>
          <w:color w:val="385623" w:themeColor="accent6" w:themeShade="80"/>
          <w:sz w:val="22"/>
          <w:szCs w:val="22"/>
        </w:rPr>
        <w:t xml:space="preserve"> obu kończyn górnych (w przypadku Obszaru B)</w:t>
      </w:r>
      <w:r w:rsidRPr="00A45B69">
        <w:rPr>
          <w:color w:val="385623" w:themeColor="accent6" w:themeShade="80"/>
          <w:sz w:val="22"/>
          <w:szCs w:val="22"/>
        </w:rPr>
        <w:t xml:space="preserve"> </w:t>
      </w:r>
      <w:r w:rsidRPr="00A45B69">
        <w:rPr>
          <w:sz w:val="22"/>
          <w:szCs w:val="22"/>
        </w:rPr>
        <w:t xml:space="preserve">– należy przez to rozumieć stan </w:t>
      </w:r>
      <w:r w:rsidRPr="00A45B69">
        <w:rPr>
          <w:iCs/>
          <w:sz w:val="22"/>
          <w:szCs w:val="22"/>
        </w:rPr>
        <w:t xml:space="preserve">potwierdzony zaświadczeniem lekarskim: </w:t>
      </w:r>
      <w:r w:rsidRPr="00A45B69">
        <w:rPr>
          <w:bCs/>
          <w:iCs/>
          <w:sz w:val="22"/>
          <w:szCs w:val="22"/>
        </w:rPr>
        <w:t xml:space="preserve">wrodzony brak lub amputację obu kończyn górnych – co najmniej w obrębie przedramienia, a także </w:t>
      </w:r>
      <w:r w:rsidRPr="00A45B69">
        <w:rPr>
          <w:iCs/>
          <w:sz w:val="22"/>
          <w:szCs w:val="22"/>
        </w:rPr>
        <w:t xml:space="preserve">dysfunkcję charakteryzującą się znacznie </w:t>
      </w:r>
      <w:r w:rsidRPr="00A45B69">
        <w:rPr>
          <w:bCs/>
          <w:iCs/>
          <w:sz w:val="22"/>
          <w:szCs w:val="22"/>
        </w:rPr>
        <w:t xml:space="preserve">obniżoną </w:t>
      </w:r>
      <w:r w:rsidRPr="00A45B69">
        <w:rPr>
          <w:bCs/>
          <w:iCs/>
          <w:sz w:val="22"/>
          <w:szCs w:val="22"/>
        </w:rPr>
        <w:lastRenderedPageBreak/>
        <w:t>sprawnością ruchową w zakresie obu kończyn górnych w stopniu znacznie utrudniającym korzystanie ze standardowego sprzętu elektronicznego, wynikająca ze schorzeń o różnej etiologii (m.in. porażenia m</w:t>
      </w:r>
      <w:r w:rsidRPr="00A45B69">
        <w:rPr>
          <w:bCs/>
          <w:iCs/>
          <w:sz w:val="22"/>
          <w:szCs w:val="22"/>
        </w:rPr>
        <w:t xml:space="preserve">ózgowe, choroby </w:t>
      </w:r>
      <w:proofErr w:type="spellStart"/>
      <w:r w:rsidRPr="00A45B69">
        <w:rPr>
          <w:bCs/>
          <w:iCs/>
          <w:sz w:val="22"/>
          <w:szCs w:val="22"/>
        </w:rPr>
        <w:t>neuromięśniowe</w:t>
      </w:r>
      <w:proofErr w:type="spellEnd"/>
      <w:r w:rsidRPr="00A45B69">
        <w:rPr>
          <w:bCs/>
          <w:iCs/>
          <w:sz w:val="22"/>
          <w:szCs w:val="22"/>
        </w:rPr>
        <w:t>)</w:t>
      </w:r>
      <w:r w:rsidR="002F793E" w:rsidRPr="00A45B69">
        <w:rPr>
          <w:bCs/>
          <w:iCs/>
          <w:sz w:val="22"/>
          <w:szCs w:val="22"/>
        </w:rPr>
        <w:t>,</w:t>
      </w:r>
    </w:p>
    <w:p w:rsidR="00895C58" w:rsidRPr="00A45B69" w:rsidRDefault="00895C58" w:rsidP="00895C58">
      <w:pPr>
        <w:pStyle w:val="StandI"/>
        <w:tabs>
          <w:tab w:val="num" w:pos="709"/>
        </w:tabs>
        <w:spacing w:before="60" w:after="0" w:line="240" w:lineRule="auto"/>
        <w:rPr>
          <w:sz w:val="22"/>
          <w:szCs w:val="22"/>
        </w:rPr>
      </w:pPr>
      <w:r w:rsidRPr="00A45B69">
        <w:rPr>
          <w:b/>
          <w:bCs/>
          <w:sz w:val="22"/>
          <w:szCs w:val="22"/>
        </w:rPr>
        <w:t xml:space="preserve">- </w:t>
      </w:r>
      <w:r w:rsidRPr="00A45B69">
        <w:rPr>
          <w:b/>
          <w:bCs/>
          <w:color w:val="385623" w:themeColor="accent6" w:themeShade="80"/>
          <w:sz w:val="22"/>
          <w:szCs w:val="22"/>
        </w:rPr>
        <w:t>gospodarstwo domowe</w:t>
      </w:r>
      <w:r w:rsidRPr="00A45B69">
        <w:rPr>
          <w:b/>
          <w:bCs/>
          <w:color w:val="385623" w:themeColor="accent6" w:themeShade="80"/>
          <w:sz w:val="22"/>
          <w:szCs w:val="22"/>
        </w:rPr>
        <w:t xml:space="preserve"> wnioskodawcy</w:t>
      </w:r>
      <w:r w:rsidRPr="00A45B69">
        <w:rPr>
          <w:color w:val="385623" w:themeColor="accent6" w:themeShade="80"/>
          <w:sz w:val="22"/>
          <w:szCs w:val="22"/>
        </w:rPr>
        <w:t xml:space="preserve"> </w:t>
      </w:r>
      <w:r w:rsidRPr="00A45B69">
        <w:rPr>
          <w:sz w:val="22"/>
          <w:szCs w:val="22"/>
        </w:rPr>
        <w:t>– należy przez to rozumieć, w zależności od stanu faktycznego:</w:t>
      </w:r>
    </w:p>
    <w:p w:rsidR="00895C58" w:rsidRPr="00A45B69" w:rsidRDefault="00895C58" w:rsidP="00895C58">
      <w:pPr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wspólne gospodarstwo </w:t>
      </w:r>
      <w:r w:rsidRPr="00A45B69">
        <w:rPr>
          <w:rFonts w:ascii="Times New Roman" w:hAnsi="Times New Roman" w:cs="Times New Roman"/>
        </w:rPr>
        <w:t xml:space="preserve">– gdy wnioskodawca ma wspólny budżet domowy z innymi osobami, wchodzącymi w skład jego rodziny, </w:t>
      </w:r>
    </w:p>
    <w:p w:rsidR="00895C58" w:rsidRPr="00A45B69" w:rsidRDefault="00895C58" w:rsidP="00895C58">
      <w:pPr>
        <w:tabs>
          <w:tab w:val="left" w:pos="1560"/>
        </w:tabs>
        <w:autoSpaceDE w:val="0"/>
        <w:autoSpaceDN w:val="0"/>
        <w:adjustRightInd w:val="0"/>
        <w:ind w:left="1560" w:hanging="284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lub</w:t>
      </w:r>
    </w:p>
    <w:p w:rsidR="00895C58" w:rsidRPr="00A45B69" w:rsidRDefault="00895C58" w:rsidP="00895C58">
      <w:pPr>
        <w:numPr>
          <w:ilvl w:val="1"/>
          <w:numId w:val="1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samodzielne gospodarstwo </w:t>
      </w:r>
      <w:r w:rsidRPr="00A45B69">
        <w:rPr>
          <w:rFonts w:ascii="Times New Roman" w:hAnsi="Times New Roman" w:cs="Times New Roman"/>
          <w:b/>
          <w:bCs/>
        </w:rPr>
        <w:t xml:space="preserve">– </w:t>
      </w:r>
      <w:r w:rsidRPr="00A45B69">
        <w:rPr>
          <w:rFonts w:ascii="Times New Roman" w:hAnsi="Times New Roman" w:cs="Times New Roman"/>
        </w:rPr>
        <w:t xml:space="preserve">gdy wnioskodawca mieszka oraz utrzymuje się samodzielnie i może udokumentować, że z własnych dochodów lub przy wsparciu właściwych instytucji, ponosi wszelkie opłaty z tego tytułu, </w:t>
      </w:r>
    </w:p>
    <w:p w:rsidR="002F793E" w:rsidRPr="00A45B69" w:rsidRDefault="00895C58" w:rsidP="002F79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przy czym wnioskodawcę, który ukończył 25 rok życia i nie osiąga własnych dochodów ani nie korzysta ze wsparcia właściwych instytucji, zalicza się do wspólnego gospodarst</w:t>
      </w:r>
      <w:r w:rsidRPr="00A45B69">
        <w:rPr>
          <w:rFonts w:ascii="Times New Roman" w:hAnsi="Times New Roman" w:cs="Times New Roman"/>
        </w:rPr>
        <w:t>wa domowego rodziców/ opiekunów</w:t>
      </w:r>
      <w:r w:rsidR="002F793E" w:rsidRPr="00A45B69">
        <w:rPr>
          <w:rFonts w:ascii="Times New Roman" w:hAnsi="Times New Roman" w:cs="Times New Roman"/>
        </w:rPr>
        <w:t>,</w:t>
      </w:r>
    </w:p>
    <w:p w:rsidR="00895C58" w:rsidRPr="00A45B69" w:rsidRDefault="00895C58" w:rsidP="002F79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/>
        </w:rPr>
        <w:t xml:space="preserve">- 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>Karta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 xml:space="preserve"> Dużej Rodziny</w:t>
      </w:r>
      <w:r w:rsidRPr="00A45B6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A45B69">
        <w:rPr>
          <w:rFonts w:ascii="Times New Roman" w:hAnsi="Times New Roman" w:cs="Times New Roman"/>
        </w:rPr>
        <w:t xml:space="preserve">– należy przez to rozumieć dokument identyfikujący członka rodziny wielodzietnej, zgodnie z ustawą z dnia 5 grudnia 2014 r. o Karcie Dużej Rodziny (Dz. U. z 2016 r., poz. 785) </w:t>
      </w:r>
      <w:r w:rsidRPr="00A45B69">
        <w:rPr>
          <w:rFonts w:ascii="Times New Roman" w:hAnsi="Times New Roman" w:cs="Times New Roman"/>
          <w:bCs/>
        </w:rPr>
        <w:t xml:space="preserve">lub inny dokument, na podstawie którego wnioskodawca objęty jest działaniami/ulgami adresowanymi do rodzin wielodzietnych, ujętymi </w:t>
      </w:r>
      <w:r w:rsidRPr="00A45B69">
        <w:rPr>
          <w:rFonts w:ascii="Times New Roman" w:hAnsi="Times New Roman" w:cs="Times New Roman"/>
        </w:rPr>
        <w:t>w ramy programów, które pod różnymi nazwami funkcjonują w Polsce, bądź wprowadzonymi jako samodzielny in</w:t>
      </w:r>
      <w:r w:rsidRPr="00A45B69">
        <w:rPr>
          <w:rFonts w:ascii="Times New Roman" w:hAnsi="Times New Roman" w:cs="Times New Roman"/>
        </w:rPr>
        <w:t>strument nieobudowany programem</w:t>
      </w:r>
      <w:r w:rsidR="002F793E" w:rsidRPr="00A45B69">
        <w:rPr>
          <w:rFonts w:ascii="Times New Roman" w:hAnsi="Times New Roman" w:cs="Times New Roman"/>
        </w:rPr>
        <w:t>,</w:t>
      </w:r>
    </w:p>
    <w:p w:rsidR="00895C58" w:rsidRPr="00A45B69" w:rsidRDefault="00895C58" w:rsidP="00895C58">
      <w:pPr>
        <w:pStyle w:val="StandI"/>
        <w:spacing w:before="60" w:after="60" w:line="240" w:lineRule="auto"/>
        <w:rPr>
          <w:sz w:val="22"/>
          <w:szCs w:val="22"/>
        </w:rPr>
      </w:pPr>
      <w:r w:rsidRPr="00A45B69">
        <w:rPr>
          <w:b/>
          <w:bCs/>
          <w:sz w:val="22"/>
          <w:szCs w:val="22"/>
        </w:rPr>
        <w:t xml:space="preserve">- </w:t>
      </w:r>
      <w:r w:rsidRPr="00A45B69">
        <w:rPr>
          <w:b/>
          <w:bCs/>
          <w:color w:val="385623" w:themeColor="accent6" w:themeShade="80"/>
          <w:sz w:val="22"/>
          <w:szCs w:val="22"/>
        </w:rPr>
        <w:t>koszty</w:t>
      </w:r>
      <w:r w:rsidRPr="00A45B69">
        <w:rPr>
          <w:b/>
          <w:bCs/>
          <w:color w:val="385623" w:themeColor="accent6" w:themeShade="80"/>
          <w:sz w:val="22"/>
          <w:szCs w:val="22"/>
        </w:rPr>
        <w:t xml:space="preserve"> kursu i egzaminów (</w:t>
      </w:r>
      <w:r w:rsidRPr="00A45B69">
        <w:rPr>
          <w:b/>
          <w:bCs/>
          <w:iCs/>
          <w:color w:val="385623" w:themeColor="accent6" w:themeShade="80"/>
          <w:kern w:val="2"/>
          <w:sz w:val="22"/>
          <w:szCs w:val="22"/>
        </w:rPr>
        <w:t>w przypadku O</w:t>
      </w:r>
      <w:r w:rsidRPr="00A45B69">
        <w:rPr>
          <w:b/>
          <w:bCs/>
          <w:color w:val="385623" w:themeColor="accent6" w:themeShade="80"/>
          <w:sz w:val="22"/>
          <w:szCs w:val="22"/>
        </w:rPr>
        <w:t xml:space="preserve">bszaru A Zadanie nr 2) </w:t>
      </w:r>
      <w:r w:rsidRPr="00A45B69">
        <w:rPr>
          <w:kern w:val="2"/>
          <w:sz w:val="22"/>
          <w:szCs w:val="22"/>
        </w:rPr>
        <w:t>– należy przez to rozumieć</w:t>
      </w:r>
      <w:r w:rsidRPr="00A45B69">
        <w:rPr>
          <w:b/>
          <w:bCs/>
          <w:sz w:val="22"/>
          <w:szCs w:val="22"/>
        </w:rPr>
        <w:t xml:space="preserve"> </w:t>
      </w:r>
      <w:r w:rsidRPr="00A45B69">
        <w:rPr>
          <w:sz w:val="22"/>
          <w:szCs w:val="22"/>
        </w:rPr>
        <w:t>koszty związane z uczestnictwem osoby niepełnosprawnej w kursie i przeprowadzeniem egzaminu, w tym także wszelkie opłaty z nimi zw</w:t>
      </w:r>
      <w:r w:rsidRPr="00A45B69">
        <w:rPr>
          <w:sz w:val="22"/>
          <w:szCs w:val="22"/>
        </w:rPr>
        <w:t>iązane oraz jazdy doszkalające</w:t>
      </w:r>
      <w:r w:rsidR="002F793E" w:rsidRPr="00A45B69">
        <w:rPr>
          <w:sz w:val="22"/>
          <w:szCs w:val="22"/>
        </w:rPr>
        <w:t>,</w:t>
      </w:r>
    </w:p>
    <w:p w:rsidR="00895C58" w:rsidRPr="00A45B69" w:rsidRDefault="00895C58" w:rsidP="00895C58">
      <w:pPr>
        <w:pStyle w:val="StandI"/>
        <w:spacing w:before="60" w:after="60" w:line="240" w:lineRule="auto"/>
        <w:rPr>
          <w:b/>
          <w:bCs/>
          <w:sz w:val="22"/>
          <w:szCs w:val="22"/>
        </w:rPr>
      </w:pPr>
      <w:r w:rsidRPr="00A45B69">
        <w:rPr>
          <w:b/>
          <w:bCs/>
          <w:iCs/>
          <w:kern w:val="2"/>
          <w:sz w:val="22"/>
          <w:szCs w:val="22"/>
        </w:rPr>
        <w:t xml:space="preserve">- </w:t>
      </w:r>
      <w:r w:rsidRPr="00A45B69">
        <w:rPr>
          <w:b/>
          <w:bCs/>
          <w:iCs/>
          <w:color w:val="385623" w:themeColor="accent6" w:themeShade="80"/>
          <w:kern w:val="2"/>
          <w:sz w:val="22"/>
          <w:szCs w:val="22"/>
        </w:rPr>
        <w:t>koszty</w:t>
      </w:r>
      <w:r w:rsidRPr="00A45B69">
        <w:rPr>
          <w:b/>
          <w:bCs/>
          <w:iCs/>
          <w:color w:val="385623" w:themeColor="accent6" w:themeShade="80"/>
          <w:kern w:val="2"/>
          <w:sz w:val="22"/>
          <w:szCs w:val="22"/>
        </w:rPr>
        <w:t xml:space="preserve"> utrzymania sprawności technicznej posiadanej protezy </w:t>
      </w:r>
      <w:r w:rsidRPr="00A45B69">
        <w:rPr>
          <w:b/>
          <w:bCs/>
          <w:color w:val="385623" w:themeColor="accent6" w:themeShade="80"/>
          <w:sz w:val="22"/>
          <w:szCs w:val="22"/>
        </w:rPr>
        <w:t>kończyny (Obszar C Zadanie nr 4)</w:t>
      </w:r>
      <w:r w:rsidRPr="00A45B69">
        <w:rPr>
          <w:b/>
          <w:bCs/>
          <w:sz w:val="22"/>
          <w:szCs w:val="22"/>
        </w:rPr>
        <w:t xml:space="preserve"> </w:t>
      </w:r>
      <w:r w:rsidRPr="00A45B69">
        <w:rPr>
          <w:kern w:val="2"/>
          <w:sz w:val="22"/>
          <w:szCs w:val="22"/>
        </w:rPr>
        <w:t>– należy przez to rozumieć koszty</w:t>
      </w:r>
      <w:r w:rsidRPr="00A45B69">
        <w:rPr>
          <w:sz w:val="22"/>
          <w:szCs w:val="22"/>
        </w:rPr>
        <w:t xml:space="preserve"> związane z utrzymaniem sprawności technicznej protez/y kończyny górnej i/lub dolnej, w której zastosowano now</w:t>
      </w:r>
      <w:r w:rsidR="002F793E" w:rsidRPr="00A45B69">
        <w:rPr>
          <w:sz w:val="22"/>
          <w:szCs w:val="22"/>
        </w:rPr>
        <w:t>oczesne rozwiązania techniczne,</w:t>
      </w:r>
    </w:p>
    <w:p w:rsidR="00895C58" w:rsidRPr="00A45B69" w:rsidRDefault="00895C58" w:rsidP="00895C58">
      <w:pPr>
        <w:pStyle w:val="StandI"/>
        <w:spacing w:before="60" w:after="60" w:line="240" w:lineRule="auto"/>
        <w:rPr>
          <w:sz w:val="22"/>
          <w:szCs w:val="22"/>
        </w:rPr>
      </w:pPr>
      <w:r w:rsidRPr="00A45B69">
        <w:rPr>
          <w:b/>
          <w:bCs/>
          <w:sz w:val="22"/>
          <w:szCs w:val="22"/>
        </w:rPr>
        <w:t xml:space="preserve">- </w:t>
      </w:r>
      <w:r w:rsidRPr="00A45B69">
        <w:rPr>
          <w:b/>
          <w:bCs/>
          <w:color w:val="385623" w:themeColor="accent6" w:themeShade="80"/>
          <w:sz w:val="22"/>
          <w:szCs w:val="22"/>
        </w:rPr>
        <w:t>miejsce</w:t>
      </w:r>
      <w:r w:rsidRPr="00A45B69">
        <w:rPr>
          <w:b/>
          <w:bCs/>
          <w:color w:val="385623" w:themeColor="accent6" w:themeShade="80"/>
          <w:sz w:val="22"/>
          <w:szCs w:val="22"/>
        </w:rPr>
        <w:t xml:space="preserve"> zamieszkania</w:t>
      </w:r>
      <w:r w:rsidRPr="00A45B69">
        <w:rPr>
          <w:color w:val="385623" w:themeColor="accent6" w:themeShade="80"/>
          <w:sz w:val="22"/>
          <w:szCs w:val="22"/>
        </w:rPr>
        <w:t xml:space="preserve"> </w:t>
      </w:r>
      <w:r w:rsidRPr="00A45B69">
        <w:rPr>
          <w:kern w:val="2"/>
          <w:sz w:val="22"/>
          <w:szCs w:val="22"/>
        </w:rPr>
        <w:t>– należy przez to rozumieć, zgodnie z normą kodeksu cywilnego (</w:t>
      </w:r>
      <w:r w:rsidRPr="00A45B69">
        <w:rPr>
          <w:sz w:val="22"/>
          <w:szCs w:val="22"/>
        </w:rPr>
        <w:t>art. 25 KC)</w:t>
      </w:r>
      <w:r w:rsidRPr="00A45B69">
        <w:rPr>
          <w:kern w:val="2"/>
          <w:sz w:val="22"/>
          <w:szCs w:val="22"/>
        </w:rPr>
        <w:t xml:space="preserve"> miejscowość, w której wnioskodawca </w:t>
      </w:r>
      <w:r w:rsidRPr="00A45B69">
        <w:rPr>
          <w:sz w:val="22"/>
          <w:szCs w:val="22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 określonym mieście, ale również zamiar stałego pobytu i chęć skoncentrowania swoich interesów życiowych w danym miejscu; można mieć t</w:t>
      </w:r>
      <w:r w:rsidR="002F793E" w:rsidRPr="00A45B69">
        <w:rPr>
          <w:sz w:val="22"/>
          <w:szCs w:val="22"/>
        </w:rPr>
        <w:t>ylko jedno miejsce zamieszkania,</w:t>
      </w:r>
    </w:p>
    <w:p w:rsidR="002F793E" w:rsidRPr="00A45B69" w:rsidRDefault="002F793E" w:rsidP="002F793E">
      <w:pPr>
        <w:pStyle w:val="StandI"/>
        <w:spacing w:before="60" w:after="60" w:line="240" w:lineRule="auto"/>
        <w:rPr>
          <w:sz w:val="22"/>
          <w:szCs w:val="22"/>
        </w:rPr>
      </w:pPr>
      <w:r w:rsidRPr="00A45B69">
        <w:rPr>
          <w:b/>
          <w:bCs/>
          <w:kern w:val="2"/>
          <w:sz w:val="22"/>
          <w:szCs w:val="22"/>
        </w:rPr>
        <w:t xml:space="preserve">- </w:t>
      </w:r>
      <w:r w:rsidRPr="00A45B69">
        <w:rPr>
          <w:b/>
          <w:bCs/>
          <w:color w:val="385623" w:themeColor="accent6" w:themeShade="80"/>
          <w:kern w:val="2"/>
          <w:sz w:val="22"/>
          <w:szCs w:val="22"/>
        </w:rPr>
        <w:t>oprzyrządowanie</w:t>
      </w:r>
      <w:r w:rsidRPr="00A45B69">
        <w:rPr>
          <w:b/>
          <w:bCs/>
          <w:color w:val="385623" w:themeColor="accent6" w:themeShade="80"/>
          <w:kern w:val="2"/>
          <w:sz w:val="22"/>
          <w:szCs w:val="22"/>
        </w:rPr>
        <w:t xml:space="preserve"> </w:t>
      </w:r>
      <w:r w:rsidRPr="00A45B69">
        <w:rPr>
          <w:b/>
          <w:color w:val="385623" w:themeColor="accent6" w:themeShade="80"/>
          <w:kern w:val="2"/>
          <w:sz w:val="22"/>
          <w:szCs w:val="22"/>
        </w:rPr>
        <w:t>samochodu</w:t>
      </w:r>
      <w:r w:rsidRPr="00A45B69">
        <w:rPr>
          <w:color w:val="385623" w:themeColor="accent6" w:themeShade="80"/>
          <w:kern w:val="2"/>
          <w:sz w:val="22"/>
          <w:szCs w:val="22"/>
        </w:rPr>
        <w:t xml:space="preserve"> </w:t>
      </w:r>
      <w:r w:rsidRPr="00A45B69">
        <w:rPr>
          <w:kern w:val="2"/>
          <w:sz w:val="22"/>
          <w:szCs w:val="22"/>
        </w:rPr>
        <w:t>– należy przez to rozumieć dostosowane do indywidualnych potrzeb związanych z rodzajem niepełnosprawności adresata programu urządzenia (montowane fabrycznie lub dodatkowo) lub również wyposażenie samochodu, które umożliwia użytkowanie samochodu</w:t>
      </w:r>
      <w:r w:rsidRPr="00A45B69">
        <w:rPr>
          <w:b/>
          <w:bCs/>
          <w:kern w:val="2"/>
          <w:sz w:val="22"/>
          <w:szCs w:val="22"/>
        </w:rPr>
        <w:t xml:space="preserve"> </w:t>
      </w:r>
      <w:r w:rsidRPr="00A45B69">
        <w:rPr>
          <w:kern w:val="2"/>
          <w:sz w:val="22"/>
          <w:szCs w:val="22"/>
        </w:rPr>
        <w:t>przez osobę niepełnosprawną z dysfunkcją ruchu lub przewożenie samochodem osoby niepełnosprawnej oraz niezbędnego sprzętu rehabilitacyjnego; do mobilnych przedmiotów można zaliczyć przykładowo:</w:t>
      </w:r>
      <w:r w:rsidRPr="00A45B69">
        <w:rPr>
          <w:sz w:val="22"/>
          <w:szCs w:val="22"/>
        </w:rPr>
        <w:t xml:space="preserve"> specjalny fotel pasażera, w tym fotelik dziecięcy, </w:t>
      </w:r>
      <w:r w:rsidRPr="00A45B69">
        <w:rPr>
          <w:iCs/>
          <w:sz w:val="22"/>
          <w:szCs w:val="22"/>
        </w:rPr>
        <w:t xml:space="preserve">podnośnik lub najazd/podjazd/rampę podjazdową do wózka inwalidzkiego, </w:t>
      </w:r>
      <w:r w:rsidRPr="00A45B69">
        <w:rPr>
          <w:sz w:val="22"/>
          <w:szCs w:val="22"/>
        </w:rPr>
        <w:t>dodatkowe pasy do mocowania wózka inwalidzkiego itp.</w:t>
      </w:r>
      <w:r w:rsidRPr="00A45B69">
        <w:rPr>
          <w:kern w:val="2"/>
          <w:sz w:val="22"/>
          <w:szCs w:val="22"/>
        </w:rPr>
        <w:t>,</w:t>
      </w:r>
    </w:p>
    <w:p w:rsidR="002F793E" w:rsidRPr="00A45B69" w:rsidRDefault="002F793E" w:rsidP="002F793E">
      <w:pPr>
        <w:pStyle w:val="StandI"/>
        <w:spacing w:before="60" w:after="60" w:line="240" w:lineRule="auto"/>
        <w:rPr>
          <w:sz w:val="22"/>
          <w:szCs w:val="22"/>
        </w:rPr>
      </w:pPr>
      <w:r w:rsidRPr="00A45B69">
        <w:rPr>
          <w:b/>
          <w:bCs/>
          <w:sz w:val="22"/>
          <w:szCs w:val="22"/>
        </w:rPr>
        <w:t xml:space="preserve">- </w:t>
      </w:r>
      <w:r w:rsidRPr="00A45B69">
        <w:rPr>
          <w:b/>
          <w:bCs/>
          <w:color w:val="385623" w:themeColor="accent6" w:themeShade="80"/>
          <w:sz w:val="22"/>
          <w:szCs w:val="22"/>
        </w:rPr>
        <w:t>osoba głuchoniewidoma</w:t>
      </w:r>
      <w:r w:rsidRPr="00A45B69">
        <w:rPr>
          <w:b/>
          <w:bCs/>
          <w:color w:val="385623" w:themeColor="accent6" w:themeShade="80"/>
          <w:sz w:val="22"/>
          <w:szCs w:val="22"/>
        </w:rPr>
        <w:t xml:space="preserve"> </w:t>
      </w:r>
      <w:r w:rsidRPr="00A45B69">
        <w:rPr>
          <w:sz w:val="22"/>
          <w:szCs w:val="22"/>
        </w:rPr>
        <w:t>– należy przez to rozumieć osobę niepełnosprawną, która na skutek równoczesnego uszkodzenia słuchu i wzroku napotyka bardzo duże trudności w wymianie informacji oraz w komunikowaniu się, stan ten musi być potwierdzony w odpowiednim dokumenc</w:t>
      </w:r>
      <w:r w:rsidRPr="00A45B69">
        <w:rPr>
          <w:sz w:val="22"/>
          <w:szCs w:val="22"/>
        </w:rPr>
        <w:t>ie lub zaświadczeniu lekarskim,</w:t>
      </w:r>
    </w:p>
    <w:p w:rsidR="002F793E" w:rsidRPr="00A45B69" w:rsidRDefault="002F793E" w:rsidP="002F793E">
      <w:pPr>
        <w:pStyle w:val="StandI"/>
        <w:spacing w:before="60" w:after="60" w:line="240" w:lineRule="auto"/>
        <w:rPr>
          <w:sz w:val="22"/>
          <w:szCs w:val="22"/>
        </w:rPr>
      </w:pP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>- osoba poszkodowana</w:t>
      </w:r>
      <w:r w:rsidRPr="00A45B69">
        <w:rPr>
          <w:b/>
          <w:iCs/>
          <w:color w:val="385623" w:themeColor="accent6" w:themeShade="80"/>
          <w:kern w:val="2"/>
          <w:sz w:val="22"/>
          <w:szCs w:val="22"/>
        </w:rPr>
        <w:t xml:space="preserve"> w wyniku działania żywiołu lub innych zdarzeń losowych </w:t>
      </w:r>
      <w:r w:rsidRPr="00A45B69">
        <w:rPr>
          <w:iCs/>
          <w:sz w:val="22"/>
          <w:szCs w:val="22"/>
        </w:rPr>
        <w:t>– należy przez to rozumieć:</w:t>
      </w:r>
    </w:p>
    <w:p w:rsidR="002F793E" w:rsidRPr="00A45B69" w:rsidRDefault="002F793E" w:rsidP="002F793E">
      <w:pPr>
        <w:spacing w:before="60" w:after="60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a) osobę zamieszkującą na terenie gminy umieszczonej w wykazie określonym w rozporządzeniu Prezesa Rady Ministrów, wydanym na podstawie</w:t>
      </w:r>
      <w:r w:rsidRPr="00A45B69">
        <w:rPr>
          <w:rFonts w:ascii="Times New Roman" w:hAnsi="Times New Roman" w:cs="Times New Roman"/>
          <w:b/>
          <w:bCs/>
        </w:rPr>
        <w:t xml:space="preserve"> </w:t>
      </w:r>
      <w:r w:rsidRPr="00A45B69">
        <w:rPr>
          <w:rFonts w:ascii="Times New Roman" w:hAnsi="Times New Roman" w:cs="Times New Roman"/>
        </w:rPr>
        <w:t>art. 2 ustawy z dnia 11 sierpnia 2001 r. o szczególnych zasadach odbudowy, remontów i rozbiórek obiektów budowlanych zniszczonych lub uszkodzonych w wyniku działania żywiołu (</w:t>
      </w:r>
      <w:r w:rsidRPr="00A45B69">
        <w:rPr>
          <w:rFonts w:ascii="Times New Roman" w:hAnsi="Times New Roman" w:cs="Times New Roman"/>
          <w:bCs/>
        </w:rPr>
        <w:t>Dz. U. z 2016 r. poz. 1067</w:t>
      </w:r>
      <w:r w:rsidRPr="00A45B69">
        <w:rPr>
          <w:rFonts w:ascii="Times New Roman" w:hAnsi="Times New Roman" w:cs="Times New Roman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</w:t>
      </w:r>
      <w:r w:rsidRPr="00A45B69">
        <w:rPr>
          <w:rFonts w:ascii="Times New Roman" w:hAnsi="Times New Roman" w:cs="Times New Roman"/>
        </w:rPr>
        <w:lastRenderedPageBreak/>
        <w:t>straty w gospodarstwach domowych (budynkach mieszkalnych, podstawowym wyposażeniu gospodarstw domowych) na podstawie art. 40 ust. 2 i ust. 3 ustawy z dnia 12 marca 2004 r. o pomocy społecznej (Dz. U. z 2015 r. poz. 163, z </w:t>
      </w:r>
      <w:proofErr w:type="spellStart"/>
      <w:r w:rsidRPr="00A45B69">
        <w:rPr>
          <w:rFonts w:ascii="Times New Roman" w:hAnsi="Times New Roman" w:cs="Times New Roman"/>
        </w:rPr>
        <w:t>późn</w:t>
      </w:r>
      <w:proofErr w:type="spellEnd"/>
      <w:r w:rsidRPr="00A45B69">
        <w:rPr>
          <w:rFonts w:ascii="Times New Roman" w:hAnsi="Times New Roman" w:cs="Times New Roman"/>
        </w:rPr>
        <w:t xml:space="preserve">. zm.), a także, </w:t>
      </w:r>
    </w:p>
    <w:p w:rsidR="002F793E" w:rsidRPr="00A45B69" w:rsidRDefault="002F793E" w:rsidP="002F793E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45B69">
        <w:rPr>
          <w:rFonts w:ascii="Times New Roman" w:hAnsi="Times New Roman" w:cs="Times New Roman"/>
          <w:bCs/>
        </w:rPr>
        <w:t xml:space="preserve">b) osobę, którą dotknęło inne zdarzenie losowe, skutkujące </w:t>
      </w:r>
      <w:r w:rsidRPr="00A45B69">
        <w:rPr>
          <w:rFonts w:ascii="Times New Roman" w:hAnsi="Times New Roman" w:cs="Times New Roman"/>
        </w:rPr>
        <w:t>stratami materialnymi w gospodarstwie domowym</w:t>
      </w:r>
      <w:r w:rsidRPr="00A45B69">
        <w:rPr>
          <w:rFonts w:ascii="Times New Roman" w:hAnsi="Times New Roman" w:cs="Times New Roman"/>
          <w:bCs/>
        </w:rPr>
        <w:t xml:space="preserve"> (np. pożar, kradzież, zalanie), udokumentowane /potwierdzone przez właściwą jednostkę (np. jednostkę pomocy społ</w:t>
      </w:r>
      <w:r w:rsidRPr="00A45B69">
        <w:rPr>
          <w:rFonts w:ascii="Times New Roman" w:hAnsi="Times New Roman" w:cs="Times New Roman"/>
          <w:bCs/>
        </w:rPr>
        <w:t>ecznej, straż pożarną, Policję),</w:t>
      </w:r>
    </w:p>
    <w:p w:rsidR="002F793E" w:rsidRPr="00A45B69" w:rsidRDefault="002F793E" w:rsidP="002F793E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bCs/>
        </w:rPr>
        <w:t>-</w:t>
      </w:r>
      <w:r w:rsidRPr="00A45B69">
        <w:rPr>
          <w:rFonts w:ascii="Times New Roman" w:hAnsi="Times New Roman" w:cs="Times New Roman"/>
          <w:b/>
          <w:bCs/>
          <w:iCs/>
        </w:rPr>
        <w:t xml:space="preserve"> </w:t>
      </w:r>
      <w:r w:rsidRPr="00A45B69">
        <w:rPr>
          <w:rFonts w:ascii="Times New Roman" w:hAnsi="Times New Roman" w:cs="Times New Roman"/>
          <w:b/>
          <w:bCs/>
          <w:iCs/>
          <w:color w:val="385623" w:themeColor="accent6" w:themeShade="80"/>
        </w:rPr>
        <w:t>osoba zależna</w:t>
      </w:r>
      <w:r w:rsidRPr="00A45B69">
        <w:rPr>
          <w:rFonts w:ascii="Times New Roman" w:hAnsi="Times New Roman" w:cs="Times New Roman"/>
          <w:b/>
          <w:bCs/>
          <w:iCs/>
          <w:color w:val="385623" w:themeColor="accent6" w:themeShade="80"/>
        </w:rPr>
        <w:t xml:space="preserve"> (w przypadku Obszaru D)</w:t>
      </w:r>
      <w:r w:rsidRPr="00A45B69">
        <w:rPr>
          <w:rFonts w:ascii="Times New Roman" w:hAnsi="Times New Roman" w:cs="Times New Roman"/>
          <w:iCs/>
          <w:color w:val="385623" w:themeColor="accent6" w:themeShade="80"/>
        </w:rPr>
        <w:t xml:space="preserve"> </w:t>
      </w:r>
      <w:r w:rsidRPr="00A45B69">
        <w:rPr>
          <w:rFonts w:ascii="Times New Roman" w:hAnsi="Times New Roman" w:cs="Times New Roman"/>
          <w:iCs/>
        </w:rPr>
        <w:t>– należy przez to rozumieć dziecko będące pod opieką wnioskodawcy i przebywające w żłobku lub przedszkolu albo pod inną tego typu opieką (</w:t>
      </w:r>
      <w:r w:rsidRPr="00A45B69">
        <w:rPr>
          <w:rFonts w:ascii="Times New Roman" w:hAnsi="Times New Roman" w:cs="Times New Roman"/>
        </w:rPr>
        <w:t xml:space="preserve">dziennego opiekuna, </w:t>
      </w:r>
      <w:r w:rsidRPr="00A45B69">
        <w:rPr>
          <w:rFonts w:ascii="Times New Roman" w:hAnsi="Times New Roman" w:cs="Times New Roman"/>
          <w:iCs/>
        </w:rPr>
        <w:t>niani lub w ramach klubu dziecięcego, punktu przedszkolnego, zespołu wychowania przedszkolnego, od</w:t>
      </w:r>
      <w:r w:rsidRPr="00A45B69">
        <w:rPr>
          <w:rFonts w:ascii="Times New Roman" w:hAnsi="Times New Roman" w:cs="Times New Roman"/>
          <w:iCs/>
        </w:rPr>
        <w:t>działu przedszkolnego w szkole),</w:t>
      </w:r>
      <w:r w:rsidRPr="00A45B69">
        <w:rPr>
          <w:rFonts w:ascii="Times New Roman" w:hAnsi="Times New Roman" w:cs="Times New Roman"/>
          <w:iCs/>
        </w:rPr>
        <w:t xml:space="preserve"> </w:t>
      </w:r>
    </w:p>
    <w:p w:rsidR="002F793E" w:rsidRPr="00A45B69" w:rsidRDefault="002F793E" w:rsidP="002F793E">
      <w:pPr>
        <w:tabs>
          <w:tab w:val="num" w:pos="709"/>
        </w:tabs>
        <w:spacing w:before="60" w:after="60" w:line="240" w:lineRule="auto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b/>
          <w:bCs/>
          <w:iCs/>
        </w:rPr>
        <w:t xml:space="preserve">- </w:t>
      </w:r>
      <w:r w:rsidRPr="00A45B69">
        <w:rPr>
          <w:rFonts w:ascii="Times New Roman" w:hAnsi="Times New Roman" w:cs="Times New Roman"/>
          <w:b/>
          <w:bCs/>
          <w:iCs/>
          <w:color w:val="385623" w:themeColor="accent6" w:themeShade="80"/>
        </w:rPr>
        <w:t>posiadacz</w:t>
      </w:r>
      <w:r w:rsidRPr="00A45B69">
        <w:rPr>
          <w:rFonts w:ascii="Times New Roman" w:hAnsi="Times New Roman" w:cs="Times New Roman"/>
          <w:b/>
          <w:bCs/>
          <w:iCs/>
          <w:color w:val="385623" w:themeColor="accent6" w:themeShade="80"/>
        </w:rPr>
        <w:t xml:space="preserve"> samochodu </w:t>
      </w:r>
      <w:r w:rsidRPr="00A45B69">
        <w:rPr>
          <w:rFonts w:ascii="Times New Roman" w:hAnsi="Times New Roman" w:cs="Times New Roman"/>
          <w:iCs/>
        </w:rPr>
        <w:t>(w rozumieniu programu)</w:t>
      </w:r>
      <w:r w:rsidRPr="00A45B69">
        <w:rPr>
          <w:rFonts w:ascii="Times New Roman" w:hAnsi="Times New Roman" w:cs="Times New Roman"/>
          <w:b/>
          <w:bCs/>
          <w:iCs/>
        </w:rPr>
        <w:t xml:space="preserve"> </w:t>
      </w:r>
      <w:r w:rsidRPr="00A45B69">
        <w:rPr>
          <w:rFonts w:ascii="Times New Roman" w:hAnsi="Times New Roman" w:cs="Times New Roman"/>
          <w:iCs/>
        </w:rPr>
        <w:t xml:space="preserve">– </w:t>
      </w:r>
      <w:r w:rsidRPr="00A45B69">
        <w:rPr>
          <w:rFonts w:ascii="Times New Roman" w:hAnsi="Times New Roman" w:cs="Times New Roman"/>
          <w:iCs/>
          <w:kern w:val="2"/>
        </w:rPr>
        <w:t xml:space="preserve">należy przez to rozumieć jego właściciela lub współwłaściciela; w przypadku osób niepełnoletnich i pozbawionych zdolności do czynności prawnych, posiadaczem samochodu jest wnioskodawca; w przypadku, gdy wnioskodawca ubiega się o dofinansowanie wyłącznie sprzętu/urządzeń mobilnych (niemontowanych w samochodzie na stałe), posiadanie samochodu może być udokumentowane aktualną umową </w:t>
      </w:r>
      <w:r w:rsidRPr="00A45B69">
        <w:rPr>
          <w:rFonts w:ascii="Times New Roman" w:hAnsi="Times New Roman" w:cs="Times New Roman"/>
        </w:rPr>
        <w:t>(np. umowa użytkowania, na</w:t>
      </w:r>
      <w:r w:rsidRPr="00A45B69">
        <w:rPr>
          <w:rFonts w:ascii="Times New Roman" w:hAnsi="Times New Roman" w:cs="Times New Roman"/>
        </w:rPr>
        <w:t>jmu, użyczenia, dzierżawy itd.),</w:t>
      </w:r>
    </w:p>
    <w:p w:rsidR="002F793E" w:rsidRPr="00A45B69" w:rsidRDefault="002F793E" w:rsidP="002F793E">
      <w:pPr>
        <w:tabs>
          <w:tab w:val="num" w:pos="709"/>
        </w:tabs>
        <w:spacing w:before="60" w:after="60" w:line="240" w:lineRule="auto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b/>
        </w:rPr>
        <w:t xml:space="preserve">- 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>poziom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 xml:space="preserve"> jakości protez kończyny górnej </w:t>
      </w:r>
      <w:r w:rsidRPr="00A45B69">
        <w:rPr>
          <w:rFonts w:ascii="Times New Roman" w:hAnsi="Times New Roman" w:cs="Times New Roman"/>
          <w:iCs/>
        </w:rPr>
        <w:t xml:space="preserve">– </w:t>
      </w:r>
      <w:r w:rsidRPr="00A45B69">
        <w:rPr>
          <w:rFonts w:ascii="Times New Roman" w:hAnsi="Times New Roman" w:cs="Times New Roman"/>
          <w:iCs/>
          <w:kern w:val="2"/>
        </w:rPr>
        <w:t>należy przez to rozumieć:</w:t>
      </w:r>
    </w:p>
    <w:p w:rsidR="002F793E" w:rsidRPr="00A45B69" w:rsidRDefault="002F793E" w:rsidP="002F793E">
      <w:pPr>
        <w:pStyle w:val="StandI"/>
        <w:numPr>
          <w:ilvl w:val="1"/>
          <w:numId w:val="16"/>
        </w:numPr>
        <w:tabs>
          <w:tab w:val="clear" w:pos="2160"/>
        </w:tabs>
        <w:spacing w:after="0" w:line="240" w:lineRule="auto"/>
        <w:ind w:left="993" w:hanging="283"/>
        <w:rPr>
          <w:bCs/>
          <w:sz w:val="22"/>
          <w:szCs w:val="22"/>
        </w:rPr>
      </w:pPr>
      <w:r w:rsidRPr="00A45B69">
        <w:rPr>
          <w:bCs/>
          <w:sz w:val="22"/>
          <w:szCs w:val="22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2F793E" w:rsidRPr="00A45B69" w:rsidRDefault="002F793E" w:rsidP="002F793E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bCs/>
        </w:rPr>
      </w:pPr>
      <w:r w:rsidRPr="00A45B69">
        <w:rPr>
          <w:rFonts w:ascii="Times New Roman" w:hAnsi="Times New Roman" w:cs="Times New Roman"/>
          <w:bCs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2F793E" w:rsidRPr="00A45B69" w:rsidRDefault="002F793E" w:rsidP="002F793E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bCs/>
        </w:rPr>
      </w:pPr>
      <w:r w:rsidRPr="00A45B69">
        <w:rPr>
          <w:rFonts w:ascii="Times New Roman" w:hAnsi="Times New Roman" w:cs="Times New Roman"/>
          <w:bCs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2F793E" w:rsidRPr="00A45B69" w:rsidRDefault="002F793E" w:rsidP="002F793E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bCs/>
        </w:rPr>
      </w:pPr>
      <w:r w:rsidRPr="00A45B69">
        <w:rPr>
          <w:rFonts w:ascii="Times New Roman" w:hAnsi="Times New Roman" w:cs="Times New Roman"/>
          <w:bCs/>
        </w:rPr>
        <w:t>poziom IV - proteza z elementami bioelektrycznymi (lub elementy kombinowane bioelektryczne i mechaniczne - tzw. hybrydowa); proteza w części bioelektrycznej sterowana impulsami z zachowanych grup mięśniowych; w znacznym stopniu pozwala na uniezależnienie się od otoczenia, jednak nie zawsze jest akceptowana przez pacjentów, w szczeg</w:t>
      </w:r>
      <w:r w:rsidR="00A45B69" w:rsidRPr="00A45B69">
        <w:rPr>
          <w:rFonts w:ascii="Times New Roman" w:hAnsi="Times New Roman" w:cs="Times New Roman"/>
          <w:bCs/>
        </w:rPr>
        <w:t>ólności z powodu znacznej wagi,</w:t>
      </w:r>
    </w:p>
    <w:p w:rsidR="002F793E" w:rsidRPr="00A45B69" w:rsidRDefault="002F793E" w:rsidP="002F793E">
      <w:pPr>
        <w:tabs>
          <w:tab w:val="num" w:pos="709"/>
        </w:tabs>
        <w:spacing w:before="60" w:after="60" w:line="240" w:lineRule="auto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b/>
        </w:rPr>
        <w:t xml:space="preserve">- 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>poziom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 xml:space="preserve"> jakości protez kończyny dolnej </w:t>
      </w:r>
      <w:r w:rsidRPr="00A45B69">
        <w:rPr>
          <w:rFonts w:ascii="Times New Roman" w:hAnsi="Times New Roman" w:cs="Times New Roman"/>
          <w:iCs/>
        </w:rPr>
        <w:t xml:space="preserve">– </w:t>
      </w:r>
      <w:r w:rsidRPr="00A45B69">
        <w:rPr>
          <w:rFonts w:ascii="Times New Roman" w:hAnsi="Times New Roman" w:cs="Times New Roman"/>
          <w:iCs/>
          <w:kern w:val="2"/>
        </w:rPr>
        <w:t>należy przez to rozumieć:</w:t>
      </w:r>
    </w:p>
    <w:p w:rsidR="002F793E" w:rsidRPr="00A45B69" w:rsidRDefault="002F793E" w:rsidP="002F793E">
      <w:pPr>
        <w:pStyle w:val="StandI"/>
        <w:spacing w:after="0" w:line="240" w:lineRule="auto"/>
        <w:ind w:left="993" w:hanging="284"/>
        <w:rPr>
          <w:bCs/>
          <w:sz w:val="22"/>
          <w:szCs w:val="22"/>
        </w:rPr>
      </w:pPr>
      <w:r w:rsidRPr="00A45B69">
        <w:rPr>
          <w:bCs/>
          <w:sz w:val="22"/>
          <w:szCs w:val="22"/>
        </w:rPr>
        <w:t>a) poziom I - proteza wykonana w ramach limitu NFZ; posiada najprostsze elementy mechaniczne; nie daje możliwości lokomocyjnych dla codziennego funkcjonowania pacjenta,</w:t>
      </w:r>
    </w:p>
    <w:p w:rsidR="002F793E" w:rsidRPr="00A45B69" w:rsidRDefault="002F793E" w:rsidP="002F793E">
      <w:pPr>
        <w:pStyle w:val="StandI"/>
        <w:spacing w:after="0" w:line="240" w:lineRule="auto"/>
        <w:ind w:left="993" w:hanging="284"/>
        <w:rPr>
          <w:bCs/>
          <w:sz w:val="22"/>
          <w:szCs w:val="22"/>
        </w:rPr>
      </w:pPr>
      <w:r w:rsidRPr="00A45B69">
        <w:rPr>
          <w:bCs/>
          <w:sz w:val="22"/>
          <w:szCs w:val="22"/>
        </w:rPr>
        <w:t>b) 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895C58" w:rsidRPr="00A45B69" w:rsidRDefault="002F793E" w:rsidP="002F793E">
      <w:pPr>
        <w:ind w:left="993" w:hanging="284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Cs/>
        </w:rPr>
        <w:t>c) poziom III - poziom bardzo dobry; proteza taka wykonana na nowoczesnych elementach (stopa, staw kolanowy) oraz posiadająca bardzo dobre zawieszenie w leju, także na elementach silikonowych; w tej grupie protez pacjent może otrzymać zaopatrzenie zapewniające takie możliwości lokomocyjne, aby mógł podjąć lub kontynuować aktywność zawodową,</w:t>
      </w:r>
      <w:r w:rsidRPr="00A45B6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</w:t>
      </w:r>
      <w:r w:rsidRPr="00A45B69">
        <w:rPr>
          <w:rFonts w:ascii="Times New Roman" w:hAnsi="Times New Roman" w:cs="Times New Roman"/>
          <w:bCs/>
        </w:rPr>
        <w:t>d) poziom IV - grupa najnowocześniejszych w świecie protez, także z elementami sterowanymi cyfrowo, z wielowarstwowymi lejami oraz</w:t>
      </w:r>
      <w:r w:rsidRPr="00A45B69">
        <w:rPr>
          <w:rFonts w:ascii="Times New Roman" w:hAnsi="Times New Roman" w:cs="Times New Roman"/>
        </w:rPr>
        <w:t xml:space="preserve"> najlżejszymi elementami nośnymi; umożliwiają w niektórych przypadkach także aktywność sportową i rekreacyjną</w:t>
      </w:r>
      <w:r w:rsidRPr="00A45B69">
        <w:rPr>
          <w:rFonts w:ascii="Times New Roman" w:hAnsi="Times New Roman" w:cs="Times New Roman"/>
        </w:rPr>
        <w:t xml:space="preserve"> pacjentów</w:t>
      </w:r>
      <w:r w:rsidR="00A45B69" w:rsidRPr="00A45B69">
        <w:rPr>
          <w:rFonts w:ascii="Times New Roman" w:hAnsi="Times New Roman" w:cs="Times New Roman"/>
        </w:rPr>
        <w:t>,</w:t>
      </w:r>
    </w:p>
    <w:p w:rsidR="002F793E" w:rsidRPr="00A45B69" w:rsidRDefault="002F793E" w:rsidP="002F793E">
      <w:pPr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A45B69">
        <w:rPr>
          <w:rFonts w:ascii="Times New Roman" w:hAnsi="Times New Roman" w:cs="Times New Roman"/>
          <w:b/>
          <w:bCs/>
        </w:rPr>
        <w:lastRenderedPageBreak/>
        <w:t xml:space="preserve">- </w:t>
      </w: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>proteza</w:t>
      </w: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 kończyny, w której zastosowano nowoczesne rozwiązania techniczne (Obszar C Zadanie nr 3 i nr 4)</w:t>
      </w:r>
      <w:r w:rsidRPr="00A45B6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A45B69">
        <w:rPr>
          <w:rFonts w:ascii="Times New Roman" w:hAnsi="Times New Roman" w:cs="Times New Roman"/>
        </w:rPr>
        <w:t>– należy przez to rozumieć protezę/protezy kończyny górnej i/lub dolnej na III</w:t>
      </w:r>
      <w:r w:rsidR="00A45B69" w:rsidRPr="00A45B69">
        <w:rPr>
          <w:rFonts w:ascii="Times New Roman" w:hAnsi="Times New Roman" w:cs="Times New Roman"/>
        </w:rPr>
        <w:t xml:space="preserve"> lub IV poziomie jakości protez,</w:t>
      </w:r>
    </w:p>
    <w:p w:rsidR="002F793E" w:rsidRPr="00A45B69" w:rsidRDefault="00A45B69" w:rsidP="00A45B6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/>
        </w:rPr>
        <w:t xml:space="preserve">- </w:t>
      </w:r>
      <w:r w:rsidR="002F793E" w:rsidRPr="00A45B69">
        <w:rPr>
          <w:rFonts w:ascii="Times New Roman" w:hAnsi="Times New Roman" w:cs="Times New Roman"/>
          <w:b/>
          <w:color w:val="385623" w:themeColor="accent6" w:themeShade="80"/>
        </w:rPr>
        <w:t>przeciętny miesięczny doch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>ó</w:t>
      </w:r>
      <w:r w:rsidR="002F793E" w:rsidRPr="00A45B69">
        <w:rPr>
          <w:rFonts w:ascii="Times New Roman" w:hAnsi="Times New Roman" w:cs="Times New Roman"/>
          <w:b/>
          <w:color w:val="385623" w:themeColor="accent6" w:themeShade="80"/>
        </w:rPr>
        <w:t>d</w:t>
      </w:r>
      <w:r w:rsidR="002F793E" w:rsidRPr="00A45B6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2F793E" w:rsidRPr="00A45B69">
        <w:rPr>
          <w:rFonts w:ascii="Times New Roman" w:hAnsi="Times New Roman" w:cs="Times New Roman"/>
          <w:b/>
          <w:color w:val="385623" w:themeColor="accent6" w:themeShade="80"/>
        </w:rPr>
        <w:t>wnioskodawcy</w:t>
      </w:r>
      <w:r w:rsidR="002F793E" w:rsidRPr="00A45B6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2F793E" w:rsidRPr="00A45B69">
        <w:rPr>
          <w:rFonts w:ascii="Times New Roman" w:hAnsi="Times New Roman" w:cs="Times New Roman"/>
        </w:rPr>
        <w:t>- należy przez to rozumieć dochód w przeliczeniu na jedną osobę w gospodarstwie domowym wnioskodawcy, o jakim mowa w ustawie z dnia 28 listopada 2003 roku o świadczeniach rodzinnych (Dz. U. z </w:t>
      </w:r>
      <w:r w:rsidR="002F793E" w:rsidRPr="00A45B69">
        <w:rPr>
          <w:rFonts w:ascii="Times New Roman" w:hAnsi="Times New Roman" w:cs="Times New Roman"/>
          <w:kern w:val="2"/>
        </w:rPr>
        <w:t xml:space="preserve">2017 </w:t>
      </w:r>
      <w:r w:rsidR="002F793E" w:rsidRPr="00A45B69">
        <w:rPr>
          <w:rFonts w:ascii="Times New Roman" w:hAnsi="Times New Roman" w:cs="Times New Roman"/>
        </w:rPr>
        <w:t xml:space="preserve">r., poz. 1952), obliczony za kwartał poprzedzający kwartał, w którym złożono wniosek; </w:t>
      </w:r>
      <w:r w:rsidR="002F793E" w:rsidRPr="00A45B69">
        <w:rPr>
          <w:rFonts w:ascii="Times New Roman" w:hAnsi="Times New Roman" w:cs="Times New Roman"/>
          <w:kern w:val="2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</w:t>
      </w:r>
      <w:r w:rsidRPr="00A45B69">
        <w:rPr>
          <w:rFonts w:ascii="Times New Roman" w:hAnsi="Times New Roman" w:cs="Times New Roman"/>
          <w:kern w:val="2"/>
        </w:rPr>
        <w:t>podarstwie domowym wnioskodawcy,</w:t>
      </w:r>
    </w:p>
    <w:p w:rsidR="002F793E" w:rsidRPr="00A45B69" w:rsidRDefault="00A45B69" w:rsidP="00A45B69">
      <w:pPr>
        <w:tabs>
          <w:tab w:val="num" w:pos="709"/>
        </w:tabs>
        <w:spacing w:before="60" w:after="6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A45B69">
        <w:rPr>
          <w:rFonts w:ascii="Times New Roman" w:hAnsi="Times New Roman" w:cs="Times New Roman"/>
          <w:b/>
          <w:bCs/>
          <w:kern w:val="2"/>
        </w:rPr>
        <w:t xml:space="preserve">- </w:t>
      </w:r>
      <w:r w:rsidRPr="00A45B69">
        <w:rPr>
          <w:rFonts w:ascii="Times New Roman" w:hAnsi="Times New Roman" w:cs="Times New Roman"/>
          <w:b/>
          <w:bCs/>
          <w:color w:val="385623" w:themeColor="accent6" w:themeShade="80"/>
          <w:kern w:val="2"/>
        </w:rPr>
        <w:t>sprzęt elektroniczny lub jego elementy lub oprogramowanie</w:t>
      </w:r>
      <w:r w:rsidR="002F793E" w:rsidRPr="00A45B69">
        <w:rPr>
          <w:rFonts w:ascii="Times New Roman" w:hAnsi="Times New Roman" w:cs="Times New Roman"/>
          <w:b/>
          <w:bCs/>
          <w:color w:val="385623" w:themeColor="accent6" w:themeShade="80"/>
          <w:kern w:val="2"/>
        </w:rPr>
        <w:t xml:space="preserve"> </w:t>
      </w:r>
      <w:r w:rsidR="002F793E" w:rsidRPr="00A45B69">
        <w:rPr>
          <w:rFonts w:ascii="Times New Roman" w:hAnsi="Times New Roman" w:cs="Times New Roman"/>
          <w:kern w:val="2"/>
        </w:rPr>
        <w:t xml:space="preserve">– należy przez to rozumieć </w:t>
      </w:r>
      <w:r w:rsidR="002F793E" w:rsidRPr="00A45B69">
        <w:rPr>
          <w:rFonts w:ascii="Times New Roman" w:hAnsi="Times New Roman" w:cs="Times New Roman"/>
        </w:rPr>
        <w:t>komputer (stacjonarny lub mobilny) oraz/lub współpracujące z nim urządzenia i dedykowane oprogramowanie, umożliwiające ograniczanie skutków rodzaju i stopnia niepełnosprawności (z uwzględnieniem definicji urządzeń brajlowskich); głównym kryterium uznania kwalifikowalności danego kosztu są indywidualne i specyficzne dla danego rodzaju dysfunkcji - potrzeby związane z rehabilitacją zawodową i społeczną potencjalnego beneficjenta,</w:t>
      </w:r>
    </w:p>
    <w:p w:rsidR="002F793E" w:rsidRPr="00A45B69" w:rsidRDefault="00A45B69" w:rsidP="00A45B69">
      <w:pPr>
        <w:tabs>
          <w:tab w:val="num" w:pos="709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b/>
          <w:bCs/>
        </w:rPr>
        <w:t xml:space="preserve">- </w:t>
      </w: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>urządzenia brajlowskie</w:t>
      </w:r>
      <w:r w:rsidR="002F793E" w:rsidRPr="00A45B69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 </w:t>
      </w:r>
      <w:r w:rsidR="002F793E" w:rsidRPr="00A45B69">
        <w:rPr>
          <w:rFonts w:ascii="Times New Roman" w:hAnsi="Times New Roman" w:cs="Times New Roman"/>
        </w:rPr>
        <w:t>– należy przez to rozumieć elektroniczne urządzenia, zdolne tworzyć wypukłą formę informacji wyjściowej, możliwą do odczytania przy pomocy zmysłu dotyku;</w:t>
      </w:r>
    </w:p>
    <w:p w:rsidR="002F793E" w:rsidRPr="00A45B69" w:rsidRDefault="00A45B69" w:rsidP="00A45B69">
      <w:pPr>
        <w:tabs>
          <w:tab w:val="num" w:pos="709"/>
        </w:tabs>
        <w:spacing w:before="60" w:after="60" w:line="240" w:lineRule="auto"/>
        <w:jc w:val="both"/>
        <w:rPr>
          <w:rFonts w:ascii="Times New Roman" w:hAnsi="Times New Roman" w:cs="Times New Roman"/>
          <w:b/>
          <w:kern w:val="2"/>
        </w:rPr>
      </w:pPr>
      <w:r w:rsidRPr="00A45B69">
        <w:rPr>
          <w:rFonts w:ascii="Times New Roman" w:hAnsi="Times New Roman" w:cs="Times New Roman"/>
          <w:b/>
          <w:bCs/>
        </w:rPr>
        <w:t xml:space="preserve">- </w:t>
      </w: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>zatrudnienie</w:t>
      </w:r>
      <w:r w:rsidR="002F793E" w:rsidRPr="00A45B69">
        <w:rPr>
          <w:rFonts w:ascii="Times New Roman" w:hAnsi="Times New Roman" w:cs="Times New Roman"/>
          <w:color w:val="385623" w:themeColor="accent6" w:themeShade="80"/>
          <w:kern w:val="2"/>
        </w:rPr>
        <w:t xml:space="preserve"> </w:t>
      </w:r>
      <w:r w:rsidR="002F793E" w:rsidRPr="00A45B69">
        <w:rPr>
          <w:rFonts w:ascii="Times New Roman" w:hAnsi="Times New Roman" w:cs="Times New Roman"/>
          <w:kern w:val="2"/>
        </w:rPr>
        <w:t>– należy przez to rozumieć:</w:t>
      </w:r>
    </w:p>
    <w:p w:rsidR="002F793E" w:rsidRPr="00A45B69" w:rsidRDefault="002F793E" w:rsidP="002F793E">
      <w:pPr>
        <w:pStyle w:val="Tekstpodstawowywcity3"/>
        <w:ind w:left="993"/>
        <w:rPr>
          <w:rFonts w:ascii="Times New Roman" w:hAnsi="Times New Roman" w:cs="Times New Roman"/>
          <w:sz w:val="22"/>
          <w:szCs w:val="22"/>
        </w:rPr>
      </w:pPr>
      <w:r w:rsidRPr="00A45B69">
        <w:rPr>
          <w:rFonts w:ascii="Times New Roman" w:hAnsi="Times New Roman" w:cs="Times New Roman"/>
          <w:sz w:val="22"/>
          <w:szCs w:val="22"/>
        </w:rPr>
        <w:t>a)</w:t>
      </w:r>
      <w:r w:rsidRPr="00A45B69">
        <w:rPr>
          <w:rFonts w:ascii="Times New Roman" w:hAnsi="Times New Roman" w:cs="Times New Roman"/>
          <w:sz w:val="22"/>
          <w:szCs w:val="22"/>
        </w:rPr>
        <w:tab/>
        <w:t xml:space="preserve">stosunek pracy na podstawie umowy o pracę, zawartej na czas nieokreślony lub określony, jednakże nie krótszy niż 3 miesiące, </w:t>
      </w:r>
    </w:p>
    <w:p w:rsidR="002F793E" w:rsidRPr="00A45B69" w:rsidRDefault="002F793E" w:rsidP="002F793E">
      <w:pPr>
        <w:pStyle w:val="Tekstpodstawowywcity3"/>
        <w:ind w:left="993"/>
        <w:rPr>
          <w:rFonts w:ascii="Times New Roman" w:hAnsi="Times New Roman" w:cs="Times New Roman"/>
          <w:sz w:val="22"/>
          <w:szCs w:val="22"/>
        </w:rPr>
      </w:pPr>
      <w:r w:rsidRPr="00A45B69">
        <w:rPr>
          <w:rFonts w:ascii="Times New Roman" w:hAnsi="Times New Roman" w:cs="Times New Roman"/>
          <w:sz w:val="22"/>
          <w:szCs w:val="22"/>
        </w:rPr>
        <w:t>b)</w:t>
      </w:r>
      <w:r w:rsidRPr="00A45B69">
        <w:rPr>
          <w:rFonts w:ascii="Times New Roman" w:hAnsi="Times New Roman" w:cs="Times New Roman"/>
          <w:sz w:val="22"/>
          <w:szCs w:val="22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2F793E" w:rsidRPr="00A45B69" w:rsidRDefault="002F793E" w:rsidP="002F793E">
      <w:pPr>
        <w:ind w:left="993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kern w:val="2"/>
        </w:rPr>
        <w:t>c)</w:t>
      </w:r>
      <w:r w:rsidRPr="00A45B69">
        <w:rPr>
          <w:rFonts w:ascii="Times New Roman" w:hAnsi="Times New Roman" w:cs="Times New Roman"/>
          <w:kern w:val="2"/>
        </w:rPr>
        <w:tab/>
        <w:t>działalność rolniczą w rozumieniu ustawy z dnia 20 grudnia 1990 r. o ubezpieczeniu społecznym rolników (</w:t>
      </w:r>
      <w:r w:rsidRPr="00A45B69">
        <w:rPr>
          <w:rFonts w:ascii="Times New Roman" w:hAnsi="Times New Roman" w:cs="Times New Roman"/>
        </w:rPr>
        <w:t>Dz. U. z 2017 r., poz. 2336</w:t>
      </w:r>
      <w:r w:rsidRPr="00A45B69">
        <w:rPr>
          <w:rFonts w:ascii="Times New Roman" w:hAnsi="Times New Roman" w:cs="Times New Roman"/>
          <w:iCs/>
          <w:kern w:val="2"/>
        </w:rPr>
        <w:t xml:space="preserve">), </w:t>
      </w:r>
    </w:p>
    <w:p w:rsidR="002F793E" w:rsidRPr="00A45B69" w:rsidRDefault="002F793E" w:rsidP="002F793E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2"/>
        </w:rPr>
      </w:pPr>
      <w:r w:rsidRPr="00A45B69">
        <w:rPr>
          <w:rFonts w:ascii="Times New Roman" w:hAnsi="Times New Roman" w:cs="Times New Roman"/>
          <w:kern w:val="2"/>
        </w:rPr>
        <w:t>działalność gospodarczą w rozumieniu ustawy z dnia 2 lipca 2004r. o swobodzie działalności gospodarczej (Dz. U. z 2017 r., poz. 2168),</w:t>
      </w:r>
    </w:p>
    <w:p w:rsidR="002F793E" w:rsidRPr="00A45B69" w:rsidRDefault="002F793E" w:rsidP="002F793E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kern w:val="2"/>
        </w:rPr>
      </w:pPr>
      <w:r w:rsidRPr="00A45B69">
        <w:rPr>
          <w:rFonts w:ascii="Times New Roman" w:hAnsi="Times New Roman" w:cs="Times New Roman"/>
          <w:kern w:val="2"/>
        </w:rPr>
        <w:t>zatrudnienie na podstawie umowy cywilnoprawnej, zawartej na okres nie krótszy niż 6 miesięcy (okresy obowiązywania umów następujących po sobie, sumują się),</w:t>
      </w:r>
    </w:p>
    <w:p w:rsidR="002F793E" w:rsidRPr="00A45B69" w:rsidRDefault="002F793E" w:rsidP="002F793E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  <w:kern w:val="2"/>
        </w:rPr>
        <w:t>staż zawodowy w rozumieniu ustawy z</w:t>
      </w:r>
      <w:r w:rsidRPr="00A45B69">
        <w:rPr>
          <w:rFonts w:ascii="Times New Roman" w:hAnsi="Times New Roman" w:cs="Times New Roman"/>
        </w:rPr>
        <w:t xml:space="preserve"> dnia 20 kwietnia 2004 r. o promocji zatrudnienia </w:t>
      </w:r>
      <w:r w:rsidRPr="00A45B69">
        <w:rPr>
          <w:rFonts w:ascii="Times New Roman" w:hAnsi="Times New Roman" w:cs="Times New Roman"/>
        </w:rPr>
        <w:br/>
        <w:t>i instytucjach rynku pracy (Dz. U. z 2017 r., poz. 1065, z </w:t>
      </w:r>
      <w:proofErr w:type="spellStart"/>
      <w:r w:rsidRPr="00A45B69">
        <w:rPr>
          <w:rFonts w:ascii="Times New Roman" w:hAnsi="Times New Roman" w:cs="Times New Roman"/>
        </w:rPr>
        <w:t>późn</w:t>
      </w:r>
      <w:proofErr w:type="spellEnd"/>
      <w:r w:rsidRPr="00A45B69">
        <w:rPr>
          <w:rFonts w:ascii="Times New Roman" w:hAnsi="Times New Roman" w:cs="Times New Roman"/>
        </w:rPr>
        <w:t xml:space="preserve">. zm.), </w:t>
      </w:r>
    </w:p>
    <w:p w:rsidR="002F793E" w:rsidRPr="00A45B69" w:rsidRDefault="002F793E" w:rsidP="002F793E">
      <w:pPr>
        <w:ind w:left="993" w:hanging="284"/>
        <w:jc w:val="both"/>
        <w:rPr>
          <w:rFonts w:ascii="Times New Roman" w:hAnsi="Times New Roman" w:cs="Times New Roman"/>
        </w:rPr>
      </w:pPr>
      <w:r w:rsidRPr="00A45B69">
        <w:rPr>
          <w:rFonts w:ascii="Times New Roman" w:hAnsi="Times New Roman" w:cs="Times New Roman"/>
        </w:rPr>
        <w:t>okresy zatrudnienia wnioskodawcy w ramach ww. mogą się sumować, jeśli następują po sobie w okresie nie dłuższym niż 30 dni, przy czym czas przerwy nie wlicza się w okres zatrudnienia</w:t>
      </w:r>
      <w:r w:rsidR="00A45B69" w:rsidRPr="00A45B69">
        <w:rPr>
          <w:rFonts w:ascii="Times New Roman" w:hAnsi="Times New Roman" w:cs="Times New Roman"/>
        </w:rPr>
        <w:t>,</w:t>
      </w:r>
      <w:r w:rsidRPr="00A45B69">
        <w:rPr>
          <w:rFonts w:ascii="Times New Roman" w:hAnsi="Times New Roman" w:cs="Times New Roman"/>
        </w:rPr>
        <w:t xml:space="preserve"> </w:t>
      </w:r>
    </w:p>
    <w:p w:rsidR="002F793E" w:rsidRPr="00A45B69" w:rsidRDefault="00A45B69" w:rsidP="00A45B69">
      <w:pPr>
        <w:spacing w:before="60" w:after="60" w:line="240" w:lineRule="auto"/>
        <w:jc w:val="both"/>
        <w:rPr>
          <w:rFonts w:ascii="Times New Roman" w:hAnsi="Times New Roman" w:cs="Times New Roman"/>
          <w:bCs/>
          <w:iCs/>
          <w:kern w:val="2"/>
        </w:rPr>
      </w:pPr>
      <w:r w:rsidRPr="00A45B69">
        <w:rPr>
          <w:rFonts w:ascii="Times New Roman" w:hAnsi="Times New Roman" w:cs="Times New Roman"/>
          <w:b/>
          <w:bCs/>
        </w:rPr>
        <w:t xml:space="preserve">- </w:t>
      </w:r>
      <w:r w:rsidRPr="00A45B69">
        <w:rPr>
          <w:rFonts w:ascii="Times New Roman" w:hAnsi="Times New Roman" w:cs="Times New Roman"/>
          <w:b/>
          <w:bCs/>
          <w:color w:val="385623" w:themeColor="accent6" w:themeShade="80"/>
        </w:rPr>
        <w:t>zdarzenia</w:t>
      </w:r>
      <w:r w:rsidR="002F793E" w:rsidRPr="00A45B69">
        <w:rPr>
          <w:rFonts w:ascii="Times New Roman" w:hAnsi="Times New Roman" w:cs="Times New Roman"/>
          <w:b/>
          <w:color w:val="385623" w:themeColor="accent6" w:themeShade="80"/>
        </w:rPr>
        <w:t xml:space="preserve"> losow</w:t>
      </w:r>
      <w:r w:rsidRPr="00A45B69">
        <w:rPr>
          <w:rFonts w:ascii="Times New Roman" w:hAnsi="Times New Roman" w:cs="Times New Roman"/>
          <w:b/>
          <w:color w:val="385623" w:themeColor="accent6" w:themeShade="80"/>
        </w:rPr>
        <w:t>e</w:t>
      </w:r>
      <w:r w:rsidR="002F793E" w:rsidRPr="00A45B69">
        <w:rPr>
          <w:rFonts w:ascii="Times New Roman" w:hAnsi="Times New Roman" w:cs="Times New Roman"/>
          <w:bCs/>
          <w:color w:val="385623" w:themeColor="accent6" w:themeShade="80"/>
        </w:rPr>
        <w:t xml:space="preserve"> </w:t>
      </w:r>
      <w:r w:rsidR="002F793E" w:rsidRPr="00A45B69">
        <w:rPr>
          <w:rFonts w:ascii="Times New Roman" w:hAnsi="Times New Roman" w:cs="Times New Roman"/>
          <w:bCs/>
        </w:rPr>
        <w:t xml:space="preserve">– należy przez to rozumieć potwierdzone przez właściwe jednostki zdarzenia, nieprzewidziane i niezawinione przez wnioskodawcę/ podopiecznego wnioskodawcy, które były nie do uniknięcia nawet przy zachowaniu należytej staranności, skutkujące utratą, zniszczeniem lub uszkodzeniem przedmiotu dofinansowania </w:t>
      </w:r>
      <w:r w:rsidR="002F793E" w:rsidRPr="00A45B69">
        <w:rPr>
          <w:rFonts w:ascii="Times New Roman" w:hAnsi="Times New Roman" w:cs="Times New Roman"/>
          <w:bCs/>
          <w:iCs/>
          <w:kern w:val="2"/>
        </w:rPr>
        <w:t>w stopniu uniemożliwiającym użytkowanie i naprawę.</w:t>
      </w:r>
    </w:p>
    <w:p w:rsidR="002F793E" w:rsidRPr="00A45B69" w:rsidRDefault="002F793E" w:rsidP="002F793E">
      <w:pPr>
        <w:pStyle w:val="StandI"/>
        <w:spacing w:after="0" w:line="240" w:lineRule="auto"/>
        <w:ind w:left="709"/>
        <w:rPr>
          <w:sz w:val="22"/>
          <w:szCs w:val="22"/>
        </w:rPr>
      </w:pPr>
    </w:p>
    <w:sectPr w:rsidR="002F793E" w:rsidRPr="00A4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369"/>
    <w:multiLevelType w:val="hybridMultilevel"/>
    <w:tmpl w:val="0778054C"/>
    <w:lvl w:ilvl="0" w:tplc="61521CB6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4"/>
      </w:rPr>
    </w:lvl>
    <w:lvl w:ilvl="1" w:tplc="4AA06DEA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469576">
      <w:start w:val="8"/>
      <w:numFmt w:val="decimal"/>
      <w:lvlText w:val="%3."/>
      <w:lvlJc w:val="left"/>
      <w:pPr>
        <w:tabs>
          <w:tab w:val="num" w:pos="-1316"/>
        </w:tabs>
        <w:ind w:left="-131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6"/>
        </w:tabs>
        <w:ind w:left="-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4"/>
        </w:tabs>
        <w:ind w:left="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84"/>
        </w:tabs>
        <w:ind w:left="13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04"/>
        </w:tabs>
        <w:ind w:left="2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824"/>
        </w:tabs>
        <w:ind w:left="2824" w:hanging="180"/>
      </w:pPr>
    </w:lvl>
  </w:abstractNum>
  <w:abstractNum w:abstractNumId="1" w15:restartNumberingAfterBreak="0">
    <w:nsid w:val="0A7568FE"/>
    <w:multiLevelType w:val="hybridMultilevel"/>
    <w:tmpl w:val="F6746C16"/>
    <w:lvl w:ilvl="0" w:tplc="E26A803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325874"/>
    <w:multiLevelType w:val="hybridMultilevel"/>
    <w:tmpl w:val="23388312"/>
    <w:lvl w:ilvl="0" w:tplc="0F323DE2">
      <w:start w:val="6"/>
      <w:numFmt w:val="bullet"/>
      <w:lvlText w:val="–"/>
      <w:lvlJc w:val="left"/>
      <w:pPr>
        <w:tabs>
          <w:tab w:val="num" w:pos="1578"/>
        </w:tabs>
        <w:ind w:left="1578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19EC170F"/>
    <w:multiLevelType w:val="hybridMultilevel"/>
    <w:tmpl w:val="873A628E"/>
    <w:lvl w:ilvl="0" w:tplc="0F323DE2">
      <w:start w:val="6"/>
      <w:numFmt w:val="bullet"/>
      <w:lvlText w:val="–"/>
      <w:lvlJc w:val="left"/>
      <w:pPr>
        <w:tabs>
          <w:tab w:val="num" w:pos="4480"/>
        </w:tabs>
        <w:ind w:left="4480" w:hanging="360"/>
      </w:pPr>
      <w:rPr>
        <w:rFonts w:ascii="Arial" w:hAnsi="Arial" w:hint="default"/>
        <w:b w:val="0"/>
        <w:i w:val="0"/>
        <w:sz w:val="14"/>
      </w:rPr>
    </w:lvl>
    <w:lvl w:ilvl="1" w:tplc="0415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80"/>
        </w:tabs>
        <w:ind w:left="8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800"/>
        </w:tabs>
        <w:ind w:left="8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520"/>
        </w:tabs>
        <w:ind w:left="9520" w:hanging="360"/>
      </w:pPr>
      <w:rPr>
        <w:rFonts w:ascii="Wingdings" w:hAnsi="Wingdings" w:hint="default"/>
      </w:rPr>
    </w:lvl>
  </w:abstractNum>
  <w:abstractNum w:abstractNumId="4" w15:restartNumberingAfterBreak="0">
    <w:nsid w:val="26426918"/>
    <w:multiLevelType w:val="hybridMultilevel"/>
    <w:tmpl w:val="280C978C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61CD"/>
    <w:multiLevelType w:val="hybridMultilevel"/>
    <w:tmpl w:val="F6746C16"/>
    <w:lvl w:ilvl="0" w:tplc="E26A803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07950EF"/>
    <w:multiLevelType w:val="hybridMultilevel"/>
    <w:tmpl w:val="F6746C16"/>
    <w:lvl w:ilvl="0" w:tplc="E26A803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1AC46F5"/>
    <w:multiLevelType w:val="hybridMultilevel"/>
    <w:tmpl w:val="37A2B476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711D59"/>
    <w:multiLevelType w:val="hybridMultilevel"/>
    <w:tmpl w:val="3CE0D5A8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C5486"/>
    <w:multiLevelType w:val="hybridMultilevel"/>
    <w:tmpl w:val="F6746C16"/>
    <w:lvl w:ilvl="0" w:tplc="E26A803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3460BD0"/>
    <w:multiLevelType w:val="hybridMultilevel"/>
    <w:tmpl w:val="F6746C16"/>
    <w:lvl w:ilvl="0" w:tplc="E26A803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B6822"/>
    <w:multiLevelType w:val="hybridMultilevel"/>
    <w:tmpl w:val="3A1CCD36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B1496"/>
    <w:multiLevelType w:val="hybridMultilevel"/>
    <w:tmpl w:val="5008AED8"/>
    <w:lvl w:ilvl="0" w:tplc="96A833BA">
      <w:start w:val="1"/>
      <w:numFmt w:val="decimal"/>
      <w:lvlText w:val="%1)"/>
      <w:lvlJc w:val="left"/>
      <w:pPr>
        <w:tabs>
          <w:tab w:val="num" w:pos="3400"/>
        </w:tabs>
        <w:ind w:left="3397" w:hanging="357"/>
      </w:pPr>
      <w:rPr>
        <w:rFonts w:ascii="Times New Roman" w:hAnsi="Times New Roman" w:hint="default"/>
        <w:b w:val="0"/>
        <w:i w:val="0"/>
        <w:sz w:val="26"/>
      </w:rPr>
    </w:lvl>
    <w:lvl w:ilvl="1" w:tplc="0D98D4BA">
      <w:start w:val="1"/>
      <w:numFmt w:val="lowerLetter"/>
      <w:lvlText w:val="%2)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2" w:tplc="3F840D5C">
      <w:start w:val="1"/>
      <w:numFmt w:val="decimal"/>
      <w:lvlText w:val="%3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6"/>
      </w:rPr>
    </w:lvl>
    <w:lvl w:ilvl="3" w:tplc="0F323DE2">
      <w:start w:val="6"/>
      <w:numFmt w:val="bullet"/>
      <w:lvlText w:val="–"/>
      <w:lvlJc w:val="left"/>
      <w:pPr>
        <w:tabs>
          <w:tab w:val="num" w:pos="4840"/>
        </w:tabs>
        <w:ind w:left="4840" w:hanging="360"/>
      </w:pPr>
      <w:rPr>
        <w:rFonts w:ascii="Arial" w:hAnsi="Arial" w:hint="default"/>
        <w:b w:val="0"/>
        <w:i w:val="0"/>
        <w:sz w:val="14"/>
      </w:rPr>
    </w:lvl>
    <w:lvl w:ilvl="4" w:tplc="556C927E">
      <w:start w:val="1"/>
      <w:numFmt w:val="decimal"/>
      <w:lvlText w:val="%5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6"/>
      </w:rPr>
    </w:lvl>
    <w:lvl w:ilvl="5" w:tplc="0415001B">
      <w:start w:val="1"/>
      <w:numFmt w:val="lowerRoman"/>
      <w:lvlText w:val="%6."/>
      <w:lvlJc w:val="right"/>
      <w:pPr>
        <w:tabs>
          <w:tab w:val="num" w:pos="6280"/>
        </w:tabs>
        <w:ind w:left="62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00"/>
        </w:tabs>
        <w:ind w:left="7000" w:hanging="360"/>
      </w:pPr>
    </w:lvl>
    <w:lvl w:ilvl="7" w:tplc="EDAC7B22">
      <w:start w:val="1"/>
      <w:numFmt w:val="lowerLetter"/>
      <w:lvlText w:val="%8)"/>
      <w:lvlJc w:val="left"/>
      <w:pPr>
        <w:tabs>
          <w:tab w:val="num" w:pos="7720"/>
        </w:tabs>
        <w:ind w:left="7720" w:hanging="360"/>
      </w:pPr>
      <w:rPr>
        <w:rFonts w:ascii="Times New Roman" w:hAnsi="Times New Roman" w:hint="default"/>
        <w:sz w:val="26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40"/>
        </w:tabs>
        <w:ind w:left="8440" w:hanging="180"/>
      </w:pPr>
    </w:lvl>
  </w:abstractNum>
  <w:abstractNum w:abstractNumId="13" w15:restartNumberingAfterBreak="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5F86D03"/>
    <w:multiLevelType w:val="hybridMultilevel"/>
    <w:tmpl w:val="AAE46FC6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0045"/>
    <w:multiLevelType w:val="hybridMultilevel"/>
    <w:tmpl w:val="8E3876E6"/>
    <w:lvl w:ilvl="0" w:tplc="C4360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4820"/>
    <w:multiLevelType w:val="hybridMultilevel"/>
    <w:tmpl w:val="7422BCF0"/>
    <w:lvl w:ilvl="0" w:tplc="96A833BA">
      <w:start w:val="1"/>
      <w:numFmt w:val="decimal"/>
      <w:lvlText w:val="%1)"/>
      <w:lvlJc w:val="left"/>
      <w:pPr>
        <w:tabs>
          <w:tab w:val="num" w:pos="3400"/>
        </w:tabs>
        <w:ind w:left="3397" w:hanging="357"/>
      </w:pPr>
      <w:rPr>
        <w:rFonts w:ascii="Times New Roman" w:hAnsi="Times New Roman" w:hint="default"/>
        <w:b w:val="0"/>
        <w:i w:val="0"/>
        <w:sz w:val="26"/>
      </w:rPr>
    </w:lvl>
    <w:lvl w:ilvl="1" w:tplc="0D98D4BA">
      <w:start w:val="1"/>
      <w:numFmt w:val="lowerLetter"/>
      <w:lvlText w:val="%2)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2" w:tplc="556C927E">
      <w:start w:val="1"/>
      <w:numFmt w:val="decimal"/>
      <w:lvlText w:val="%3)"/>
      <w:lvlJc w:val="left"/>
      <w:pPr>
        <w:tabs>
          <w:tab w:val="num" w:pos="4300"/>
        </w:tabs>
        <w:ind w:left="4297" w:hanging="357"/>
      </w:pPr>
      <w:rPr>
        <w:rFonts w:ascii="Times New Roman" w:hAnsi="Times New Roman" w:hint="default"/>
        <w:b w:val="0"/>
        <w:i w:val="0"/>
        <w:sz w:val="26"/>
      </w:rPr>
    </w:lvl>
    <w:lvl w:ilvl="3" w:tplc="4CE41D84">
      <w:start w:val="144"/>
      <w:numFmt w:val="bullet"/>
      <w:lvlText w:val="-"/>
      <w:lvlJc w:val="left"/>
      <w:pPr>
        <w:tabs>
          <w:tab w:val="num" w:pos="4840"/>
        </w:tabs>
        <w:ind w:left="4840" w:hanging="360"/>
      </w:pPr>
      <w:rPr>
        <w:rFonts w:ascii="Arial" w:hAnsi="Arial" w:cs="Times New Roman" w:hint="default"/>
        <w:b w:val="0"/>
        <w:i w:val="0"/>
        <w:sz w:val="14"/>
      </w:rPr>
    </w:lvl>
    <w:lvl w:ilvl="4" w:tplc="D90E9C90">
      <w:start w:val="16"/>
      <w:numFmt w:val="decimal"/>
      <w:lvlText w:val="%5."/>
      <w:lvlJc w:val="left"/>
      <w:pPr>
        <w:tabs>
          <w:tab w:val="num" w:pos="5560"/>
        </w:tabs>
        <w:ind w:left="55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80"/>
        </w:tabs>
        <w:ind w:left="6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00"/>
        </w:tabs>
        <w:ind w:left="7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20"/>
        </w:tabs>
        <w:ind w:left="7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40"/>
        </w:tabs>
        <w:ind w:left="844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58"/>
    <w:rsid w:val="002F793E"/>
    <w:rsid w:val="00895C58"/>
    <w:rsid w:val="00A45B69"/>
    <w:rsid w:val="00B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41D8-829F-4629-A496-910E11C4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C5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895C58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895C58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9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I">
    <w:name w:val="Stand I"/>
    <w:basedOn w:val="Normalny"/>
    <w:uiPriority w:val="99"/>
    <w:rsid w:val="00895C58"/>
    <w:pPr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F79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793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2440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Szeląg.M</dc:creator>
  <cp:keywords/>
  <dc:description/>
  <cp:lastModifiedBy>Szeląg.M</cp:lastModifiedBy>
  <cp:revision>1</cp:revision>
  <cp:lastPrinted>2018-04-13T09:03:00Z</cp:lastPrinted>
  <dcterms:created xsi:type="dcterms:W3CDTF">2018-04-13T08:26:00Z</dcterms:created>
  <dcterms:modified xsi:type="dcterms:W3CDTF">2018-04-13T09:04:00Z</dcterms:modified>
</cp:coreProperties>
</file>